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38E0" w14:textId="1FA6F749" w:rsidR="003A4327" w:rsidRPr="003A4327" w:rsidRDefault="003A4327" w:rsidP="00C24DFF">
      <w:pPr>
        <w:rPr>
          <w:b/>
          <w:bCs/>
          <w:sz w:val="22"/>
          <w:szCs w:val="32"/>
        </w:rPr>
      </w:pPr>
      <w:r w:rsidRPr="003A4327">
        <w:rPr>
          <w:b/>
          <w:bCs/>
          <w:sz w:val="22"/>
          <w:szCs w:val="32"/>
        </w:rPr>
        <w:t xml:space="preserve">Bijlage </w:t>
      </w:r>
      <w:r w:rsidRPr="003A4327">
        <w:rPr>
          <w:b/>
          <w:bCs/>
          <w:sz w:val="22"/>
          <w:szCs w:val="32"/>
          <w:highlight w:val="yellow"/>
        </w:rPr>
        <w:t>XXX</w:t>
      </w:r>
    </w:p>
    <w:p w14:paraId="368BC0AE" w14:textId="77777777" w:rsidR="00E21995" w:rsidRDefault="00E21995" w:rsidP="00C24DFF">
      <w:pPr>
        <w:rPr>
          <w:b/>
          <w:bCs/>
        </w:rPr>
      </w:pPr>
    </w:p>
    <w:p w14:paraId="783E225A" w14:textId="0E8C434F" w:rsidR="00E21995" w:rsidRDefault="00E21995" w:rsidP="00E21995">
      <w:r>
        <w:t>In deze bijlage worden de verzuimcijfers gepresenteerd. Er zijn</w:t>
      </w:r>
      <w:r>
        <w:t xml:space="preserve"> enkele trends die de </w:t>
      </w:r>
      <w:r>
        <w:t xml:space="preserve">hierna gepresenteerde </w:t>
      </w:r>
      <w:r>
        <w:t xml:space="preserve">stijgingen van de verzuimcijfers veroorzaken. Dit zijn bijvoorbeeld </w:t>
      </w:r>
      <w:r>
        <w:t xml:space="preserve">het lerarentekort, </w:t>
      </w:r>
      <w:r>
        <w:t xml:space="preserve">de groeiende wachtlijsten voor het onderwijs en de jeugdgezondheidszorg, maar ook de grote toestroom aan nieuwkomers in het onderwijs. Daarnaast ontvangen we ook signalen dat kinderen niet naar school kunnen gaan wegens de effecten van long covid. Een combinatie van deze en andere factoren zorgt voor een verhoogde druk op het onderwijs en de zorg, wat uitdagingen kan geven om de juiste hulp te bieden aan iedere leerling. Het is zorgwekkend dat de verzuimcijfers onverminderd hoog blijven en zelfs stijgen. Hoewel deze stijging deels verklaarbaar is, moeten we blijven werken aan het ombuigen van deze trend en het bieden van een passende vorm van onderwijs voor ieder kind, ongeacht de benodigde ondersteuningsbehoefte. </w:t>
      </w:r>
    </w:p>
    <w:p w14:paraId="0B4885B5" w14:textId="77777777" w:rsidR="00E21995" w:rsidRDefault="00E21995" w:rsidP="00C24DFF">
      <w:pPr>
        <w:rPr>
          <w:b/>
          <w:bCs/>
        </w:rPr>
      </w:pPr>
    </w:p>
    <w:p w14:paraId="407600B9" w14:textId="2A7951EC" w:rsidR="00AE6CD0" w:rsidRPr="00D45114" w:rsidRDefault="009B15F3" w:rsidP="00C24DFF">
      <w:pPr>
        <w:rPr>
          <w:b/>
          <w:bCs/>
        </w:rPr>
      </w:pPr>
      <w:r>
        <w:rPr>
          <w:b/>
          <w:bCs/>
        </w:rPr>
        <w:t>Ve</w:t>
      </w:r>
      <w:r w:rsidRPr="00D45114">
        <w:rPr>
          <w:b/>
          <w:bCs/>
        </w:rPr>
        <w:t>rzuimcijfers schooljaar 202</w:t>
      </w:r>
      <w:r w:rsidR="00B70B2C">
        <w:rPr>
          <w:b/>
          <w:bCs/>
        </w:rPr>
        <w:t>2</w:t>
      </w:r>
      <w:r w:rsidRPr="00D45114">
        <w:rPr>
          <w:b/>
          <w:bCs/>
        </w:rPr>
        <w:t>/202</w:t>
      </w:r>
      <w:r w:rsidR="00B70B2C">
        <w:rPr>
          <w:b/>
          <w:bCs/>
        </w:rPr>
        <w:t>3</w:t>
      </w:r>
    </w:p>
    <w:p w14:paraId="5D7FD779" w14:textId="696C9648" w:rsidR="003A4327" w:rsidRDefault="003A4327" w:rsidP="003A4327">
      <w:r>
        <w:t>Ieder jaar leveren alle gemeenten cijfers aan mijn ministerie over de schoolgang van leerlingen</w:t>
      </w:r>
      <w:r w:rsidR="00454CAA">
        <w:t xml:space="preserve"> </w:t>
      </w:r>
      <w:r w:rsidR="00B777F6">
        <w:t>via</w:t>
      </w:r>
      <w:r>
        <w:t xml:space="preserve"> de </w:t>
      </w:r>
      <w:r w:rsidR="009D44F6">
        <w:t>l</w:t>
      </w:r>
      <w:r>
        <w:t>eerplichttelling. Deze cijfers bestaan zowel uit verzuimgegevens als uit het aantal leerlingen met een vrijstelling van de leerplicht. In deze bijlage worden de cijfers kort samengevat en worden mogelijke verklaringen gegeven.</w:t>
      </w:r>
      <w:r w:rsidR="00454CAA">
        <w:t xml:space="preserve"> Deze verklaringen zijn vooral gebaseerd op de analyse die branchevereniging van leerplichtambtenaren Ingrado jaarlijks maakt.</w:t>
      </w:r>
      <w:r>
        <w:t xml:space="preserve"> Ook zullen de cijfers </w:t>
      </w:r>
      <w:r w:rsidR="00D6116F">
        <w:t xml:space="preserve">in deze bijlage </w:t>
      </w:r>
      <w:r>
        <w:t>worden geplaatst binnen de context van de</w:t>
      </w:r>
      <w:r w:rsidR="00644648">
        <w:t xml:space="preserve"> versche</w:t>
      </w:r>
      <w:r w:rsidR="0063749C">
        <w:t>r</w:t>
      </w:r>
      <w:r w:rsidR="00644648">
        <w:t>pte</w:t>
      </w:r>
      <w:r>
        <w:t xml:space="preserve"> verzuimaanpak.</w:t>
      </w:r>
      <w:r w:rsidR="0063749C">
        <w:rPr>
          <w:rStyle w:val="Voetnootmarkering"/>
        </w:rPr>
        <w:footnoteReference w:id="1"/>
      </w:r>
      <w:r w:rsidR="009D44F6">
        <w:t xml:space="preserve"> </w:t>
      </w:r>
    </w:p>
    <w:p w14:paraId="453C0597" w14:textId="77777777" w:rsidR="003A4327" w:rsidRDefault="003A4327" w:rsidP="003A4327"/>
    <w:p w14:paraId="5BB1B471" w14:textId="66560CD3" w:rsidR="00454CAA" w:rsidRDefault="000A38DC" w:rsidP="00395AC6">
      <w:r>
        <w:t xml:space="preserve">In schooljaar 2022/2023 volgden 99,3% van alle leer- of kwalificatieplichtige leerlingen in Nederland onderwijs. </w:t>
      </w:r>
      <w:r w:rsidR="0041512E">
        <w:t>Desalniettemin zijn d</w:t>
      </w:r>
      <w:r w:rsidR="00454CAA">
        <w:t>e cijfers in de leerplichttelling helaas andermaal zorgelijk</w:t>
      </w:r>
      <w:r w:rsidR="00226CB6">
        <w:t xml:space="preserve"> – te veel leerlingen volgen langdurig geen onderwijs</w:t>
      </w:r>
      <w:r w:rsidR="00454CAA">
        <w:t xml:space="preserve">. </w:t>
      </w:r>
      <w:r w:rsidR="00CD369C">
        <w:t>Het belangrijkste punt van zorg is dat</w:t>
      </w:r>
      <w:r w:rsidR="00E92781">
        <w:t xml:space="preserve"> bij alle categorieën van de leerplichtteling </w:t>
      </w:r>
      <w:r w:rsidR="00CD369C">
        <w:t xml:space="preserve">in schooljaar 2022-2023 </w:t>
      </w:r>
      <w:r w:rsidR="00E92781">
        <w:t xml:space="preserve">een stijging </w:t>
      </w:r>
      <w:r w:rsidR="00CD369C">
        <w:t xml:space="preserve">van de verzuimcijfers </w:t>
      </w:r>
      <w:r w:rsidR="00E92781">
        <w:t xml:space="preserve">te zien </w:t>
      </w:r>
      <w:r w:rsidR="00C43C01">
        <w:t xml:space="preserve">is </w:t>
      </w:r>
      <w:r w:rsidR="00E92781">
        <w:t xml:space="preserve">ten opzichte van het schooljaar 2021-2022. </w:t>
      </w:r>
      <w:r w:rsidR="00CD369C">
        <w:t>O</w:t>
      </w:r>
      <w:r w:rsidR="00E92781">
        <w:t xml:space="preserve">pvallend is de hoge stijging van </w:t>
      </w:r>
      <w:r w:rsidR="00CD369C">
        <w:t xml:space="preserve">het </w:t>
      </w:r>
      <w:r w:rsidR="00E92781">
        <w:t xml:space="preserve">absoluut verzuim </w:t>
      </w:r>
      <w:r w:rsidR="00CD369C">
        <w:t>(</w:t>
      </w:r>
      <w:r w:rsidR="00E92781">
        <w:t xml:space="preserve">ook </w:t>
      </w:r>
      <w:r w:rsidR="00454CAA">
        <w:t xml:space="preserve">wel: </w:t>
      </w:r>
      <w:r w:rsidR="00E92781">
        <w:t>langer dan drie maanden</w:t>
      </w:r>
      <w:r w:rsidR="00CD369C">
        <w:t>)</w:t>
      </w:r>
      <w:r w:rsidR="009838D7">
        <w:t>, net als</w:t>
      </w:r>
      <w:r w:rsidR="004B0DC7">
        <w:t xml:space="preserve"> de </w:t>
      </w:r>
      <w:r w:rsidR="009838D7">
        <w:t xml:space="preserve">voortdurende </w:t>
      </w:r>
      <w:r w:rsidR="004B0DC7">
        <w:t>stijging van het aantal vrijstellingen.</w:t>
      </w:r>
    </w:p>
    <w:p w14:paraId="5BC886B2" w14:textId="77777777" w:rsidR="00454CAA" w:rsidRDefault="00454CAA" w:rsidP="00395AC6"/>
    <w:p w14:paraId="1E8E0303" w14:textId="60B627A6" w:rsidR="00226CB6" w:rsidRDefault="00965411" w:rsidP="00395AC6">
      <w:r>
        <w:t xml:space="preserve">Om het verhaal achter deze cijfers te duiden heeft Ingrado (de branchevereniging van leerplichtambtenaren) </w:t>
      </w:r>
      <w:r w:rsidR="00454CAA">
        <w:t xml:space="preserve">net zoals de afgelopen jaren </w:t>
      </w:r>
      <w:r>
        <w:t xml:space="preserve">kwalitatief onderzoek gedaan. </w:t>
      </w:r>
      <w:r w:rsidR="00167BA3">
        <w:t>D</w:t>
      </w:r>
      <w:r w:rsidR="002E1B81">
        <w:t>it onderzoek is bijgevoegd en</w:t>
      </w:r>
      <w:r w:rsidR="00317F05">
        <w:t xml:space="preserve"> </w:t>
      </w:r>
      <w:r>
        <w:t xml:space="preserve">geeft de complexiteit </w:t>
      </w:r>
      <w:r w:rsidR="00167BA3">
        <w:t>weer</w:t>
      </w:r>
      <w:r>
        <w:t xml:space="preserve"> </w:t>
      </w:r>
      <w:r w:rsidR="00783061">
        <w:t>achter</w:t>
      </w:r>
      <w:r>
        <w:t xml:space="preserve"> </w:t>
      </w:r>
      <w:r w:rsidR="002E1B81">
        <w:t>het</w:t>
      </w:r>
      <w:r w:rsidR="00B777F6">
        <w:t xml:space="preserve"> (langdurig en absoluut)</w:t>
      </w:r>
      <w:r w:rsidR="002E1B81">
        <w:t xml:space="preserve"> </w:t>
      </w:r>
      <w:r>
        <w:t>verzuim</w:t>
      </w:r>
      <w:r w:rsidR="00B777F6">
        <w:t xml:space="preserve"> en vrijstellingen van leerplicht</w:t>
      </w:r>
      <w:r w:rsidR="00226CB6">
        <w:t>. Het onderzoek biedt inzicht in de achterliggende oorzaken. Die zijn vaak complex. D</w:t>
      </w:r>
      <w:r w:rsidR="009B685A">
        <w:t xml:space="preserve">e </w:t>
      </w:r>
      <w:r w:rsidR="00167BA3">
        <w:t xml:space="preserve">verzuimcijfers zijn een weerspiegeling van </w:t>
      </w:r>
      <w:r w:rsidR="002E1B81">
        <w:t xml:space="preserve">de </w:t>
      </w:r>
      <w:r w:rsidR="009B685A">
        <w:t>mate van</w:t>
      </w:r>
      <w:r w:rsidR="002E1B81">
        <w:t xml:space="preserve"> maatschappelijke problemen en </w:t>
      </w:r>
      <w:r>
        <w:t>maakt</w:t>
      </w:r>
      <w:r w:rsidR="004B0DC7">
        <w:t xml:space="preserve"> </w:t>
      </w:r>
      <w:r w:rsidR="009B685A">
        <w:t>ons de uitdagingen in het bieden van een passende vorm van onderwijs</w:t>
      </w:r>
      <w:r w:rsidR="002E1B81">
        <w:t xml:space="preserve"> voor ieder kind</w:t>
      </w:r>
      <w:r w:rsidR="009B685A">
        <w:t xml:space="preserve"> duidelijk. </w:t>
      </w:r>
    </w:p>
    <w:p w14:paraId="073FBCAE" w14:textId="77777777" w:rsidR="00226CB6" w:rsidRDefault="00226CB6" w:rsidP="00395AC6"/>
    <w:p w14:paraId="530C68EC" w14:textId="2A27E0F6" w:rsidR="00395AC6" w:rsidRDefault="00226CB6" w:rsidP="00395AC6">
      <w:r>
        <w:t xml:space="preserve">Naar aanleiding van de stijging in het aantal vrijstellingen en toegenomen verzuim heeft </w:t>
      </w:r>
      <w:r w:rsidR="003314ED">
        <w:t>het demissionair</w:t>
      </w:r>
      <w:r w:rsidR="00085961">
        <w:t>e</w:t>
      </w:r>
      <w:r w:rsidR="003314ED">
        <w:t xml:space="preserve"> kabinet</w:t>
      </w:r>
      <w:r>
        <w:t xml:space="preserve"> een verzuimaanpak aangekondigd welke momenteel wordt uitgevoerd. Deze cijfers</w:t>
      </w:r>
      <w:r w:rsidR="004B0DC7">
        <w:t xml:space="preserve"> </w:t>
      </w:r>
      <w:r w:rsidR="009B685A">
        <w:t>benadruk</w:t>
      </w:r>
      <w:r>
        <w:t>ken helaas</w:t>
      </w:r>
      <w:r w:rsidR="009B685A">
        <w:t xml:space="preserve"> </w:t>
      </w:r>
      <w:r w:rsidR="00CD369C">
        <w:t>wederom</w:t>
      </w:r>
      <w:r w:rsidR="004B0DC7">
        <w:t xml:space="preserve"> de noodzaak van</w:t>
      </w:r>
      <w:r w:rsidR="0095600E">
        <w:t xml:space="preserve"> de</w:t>
      </w:r>
      <w:r>
        <w:t>ze</w:t>
      </w:r>
      <w:r w:rsidR="0095600E">
        <w:t xml:space="preserve"> </w:t>
      </w:r>
      <w:r w:rsidR="00A9080B">
        <w:t>verscherpte verzuimaanpak om het aantal onnodige thuiszittende kinderen en jongeren terug te brengen naar nul</w:t>
      </w:r>
      <w:r w:rsidR="00395AC6">
        <w:t xml:space="preserve">. </w:t>
      </w:r>
      <w:r>
        <w:t xml:space="preserve">Onderdeel van deze aanpak is het </w:t>
      </w:r>
      <w:r w:rsidR="00395AC6">
        <w:t>wetsvoorstel Terugdringen verzuim</w:t>
      </w:r>
      <w:r>
        <w:t>, waarmee</w:t>
      </w:r>
      <w:r w:rsidR="00395AC6">
        <w:t xml:space="preserve"> wordt beoogd om </w:t>
      </w:r>
      <w:r>
        <w:t>thuiszitten beter</w:t>
      </w:r>
      <w:r w:rsidR="00395AC6">
        <w:t xml:space="preserve"> te voorkomen</w:t>
      </w:r>
      <w:r>
        <w:t>.</w:t>
      </w:r>
      <w:r w:rsidR="00395AC6">
        <w:t xml:space="preserve"> </w:t>
      </w:r>
      <w:r>
        <w:t>T</w:t>
      </w:r>
      <w:r w:rsidR="00395AC6">
        <w:t xml:space="preserve">egelijkertijd tonen de cijfers aan dat meer nodig is. Naast de maatregelen uit de verbeteraanpak passend onderwijs </w:t>
      </w:r>
      <w:r>
        <w:t>werk</w:t>
      </w:r>
      <w:r w:rsidR="007660A0">
        <w:t xml:space="preserve">en we </w:t>
      </w:r>
      <w:r>
        <w:t xml:space="preserve">aan meer ruimte in </w:t>
      </w:r>
      <w:r w:rsidR="003A2547">
        <w:t>wet-</w:t>
      </w:r>
      <w:r>
        <w:t xml:space="preserve"> en regelgeving. Dit do</w:t>
      </w:r>
      <w:r w:rsidR="007660A0">
        <w:t>en we</w:t>
      </w:r>
      <w:r>
        <w:t xml:space="preserve"> door meer mogelijk te maken</w:t>
      </w:r>
      <w:r w:rsidR="00395AC6">
        <w:t xml:space="preserve"> rondom digitaal afstandsonderwijs</w:t>
      </w:r>
      <w:r>
        <w:t xml:space="preserve"> </w:t>
      </w:r>
      <w:r w:rsidR="00395AC6">
        <w:t xml:space="preserve">en onderwijszorgarrangementen </w:t>
      </w:r>
      <w:r>
        <w:t xml:space="preserve">– gericht op ruimte voor ontwikkeling op onder meer een andere locatie dan de school. Dit moet voorkomen dat </w:t>
      </w:r>
      <w:r w:rsidR="00395AC6">
        <w:t xml:space="preserve">leerlingen thuis komen te zitten of een beroep moeten doen op langdurige zorg. </w:t>
      </w:r>
    </w:p>
    <w:p w14:paraId="1E170CFB" w14:textId="527E9433" w:rsidR="00923AFA" w:rsidRDefault="00923AFA" w:rsidP="003A4327">
      <w:pPr>
        <w:rPr>
          <w:i/>
          <w:iCs/>
        </w:rPr>
      </w:pPr>
    </w:p>
    <w:p w14:paraId="744C5590" w14:textId="1485D896" w:rsidR="00FF75C6" w:rsidRDefault="00CD1F37" w:rsidP="00CC6877">
      <w:r>
        <w:rPr>
          <w:i/>
          <w:iCs/>
        </w:rPr>
        <w:t>Langdurig relatief verzui</w:t>
      </w:r>
      <w:r w:rsidR="00765D1D">
        <w:rPr>
          <w:i/>
          <w:iCs/>
        </w:rPr>
        <w:t>m</w:t>
      </w:r>
      <w:r w:rsidR="00226CB6">
        <w:rPr>
          <w:i/>
          <w:iCs/>
        </w:rPr>
        <w:br/>
      </w:r>
      <w:r w:rsidR="00D6116F">
        <w:t xml:space="preserve">We spreken van </w:t>
      </w:r>
      <w:r w:rsidR="00CC6877" w:rsidRPr="00291569">
        <w:t xml:space="preserve">langdurig relatief verzuim </w:t>
      </w:r>
      <w:r w:rsidR="00D6116F">
        <w:t>wanneer een</w:t>
      </w:r>
      <w:r w:rsidR="0053404E">
        <w:t xml:space="preserve"> </w:t>
      </w:r>
      <w:r w:rsidR="0071750F">
        <w:t>kwalificatie</w:t>
      </w:r>
      <w:r w:rsidR="0053404E">
        <w:t>- en leer</w:t>
      </w:r>
      <w:r w:rsidR="0071750F">
        <w:t>plichtige</w:t>
      </w:r>
      <w:r w:rsidR="00D6116F">
        <w:t xml:space="preserve"> leerling </w:t>
      </w:r>
      <w:r w:rsidR="00CC6877" w:rsidRPr="00291569">
        <w:t xml:space="preserve">langer dan </w:t>
      </w:r>
      <w:r w:rsidR="0071750F">
        <w:t>vier</w:t>
      </w:r>
      <w:r w:rsidR="00CC6877" w:rsidRPr="00291569">
        <w:t xml:space="preserve"> </w:t>
      </w:r>
      <w:r w:rsidR="0071750F">
        <w:t xml:space="preserve">aaneengesloten </w:t>
      </w:r>
      <w:r w:rsidR="00CC6877" w:rsidRPr="00291569">
        <w:t xml:space="preserve">weken </w:t>
      </w:r>
      <w:r w:rsidR="0071750F">
        <w:t>continu verzuimt,</w:t>
      </w:r>
      <w:r w:rsidR="002254AE">
        <w:t xml:space="preserve"> maar nog wel </w:t>
      </w:r>
      <w:r w:rsidR="00CC6877" w:rsidRPr="00291569">
        <w:t>ingeschreven staat op een school</w:t>
      </w:r>
      <w:r w:rsidR="002254AE">
        <w:t>.</w:t>
      </w:r>
      <w:r w:rsidR="00291569">
        <w:t xml:space="preserve"> </w:t>
      </w:r>
      <w:r w:rsidR="00065E0E">
        <w:t>Het l</w:t>
      </w:r>
      <w:r w:rsidR="002254AE">
        <w:t xml:space="preserve">angdurig relatief verzuim </w:t>
      </w:r>
      <w:r w:rsidR="00291569">
        <w:t xml:space="preserve">laat voor het eerst in vier </w:t>
      </w:r>
      <w:r w:rsidR="00291569" w:rsidRPr="00115BD8">
        <w:t xml:space="preserve">schooljaren een stijging zien. </w:t>
      </w:r>
      <w:r w:rsidR="00FF75C6" w:rsidRPr="00115BD8">
        <w:t xml:space="preserve">Voor een deel kan de stijging </w:t>
      </w:r>
      <w:r w:rsidR="00D8536C" w:rsidRPr="00115BD8">
        <w:t xml:space="preserve">van het langdurig relatief verzuim </w:t>
      </w:r>
      <w:r w:rsidR="00FF75C6" w:rsidRPr="00115BD8">
        <w:t xml:space="preserve">mogelijk verklaard worden </w:t>
      </w:r>
      <w:r w:rsidR="00DE146E" w:rsidRPr="00115BD8">
        <w:t xml:space="preserve">door signalen dat </w:t>
      </w:r>
      <w:r w:rsidR="00FF75C6" w:rsidRPr="00115BD8">
        <w:t xml:space="preserve">een groep Oekraïense leerlingen </w:t>
      </w:r>
      <w:r w:rsidR="00DE146E" w:rsidRPr="00115BD8">
        <w:t xml:space="preserve">ook </w:t>
      </w:r>
      <w:r w:rsidR="00FF75C6" w:rsidRPr="00115BD8">
        <w:t>(deels) online Oekraïens onderwijs</w:t>
      </w:r>
      <w:r w:rsidR="00DE146E" w:rsidRPr="00115BD8">
        <w:t xml:space="preserve"> volgden</w:t>
      </w:r>
      <w:r w:rsidR="00FF75C6" w:rsidRPr="00115BD8">
        <w:t xml:space="preserve"> of Oekraïens eindexamen</w:t>
      </w:r>
      <w:r w:rsidR="00DE146E" w:rsidRPr="00115BD8">
        <w:t xml:space="preserve"> deden</w:t>
      </w:r>
      <w:r w:rsidR="00FF75C6" w:rsidRPr="00115BD8">
        <w:t xml:space="preserve"> waard</w:t>
      </w:r>
      <w:r w:rsidR="00EE500C" w:rsidRPr="00115BD8">
        <w:t xml:space="preserve">oor </w:t>
      </w:r>
      <w:r w:rsidR="00FF75C6" w:rsidRPr="00115BD8">
        <w:t>ze een tijd niet een Nederlandse school bezo</w:t>
      </w:r>
      <w:r w:rsidR="00EE500C" w:rsidRPr="00115BD8">
        <w:t>cht</w:t>
      </w:r>
      <w:r w:rsidR="00FF75C6" w:rsidRPr="00115BD8">
        <w:t>en.</w:t>
      </w:r>
      <w:r w:rsidR="002254AE" w:rsidRPr="00115BD8">
        <w:t xml:space="preserve"> </w:t>
      </w:r>
      <w:r w:rsidR="00CD5334" w:rsidRPr="00115BD8">
        <w:t>Een</w:t>
      </w:r>
      <w:r w:rsidR="00CD5334">
        <w:t xml:space="preserve"> andere</w:t>
      </w:r>
      <w:r w:rsidR="00CD5334" w:rsidRPr="00115BD8">
        <w:t xml:space="preserve"> </w:t>
      </w:r>
      <w:r w:rsidR="00CD5334" w:rsidRPr="00115BD8">
        <w:lastRenderedPageBreak/>
        <w:t>mogelijke verklaring is dat de registratie van langdurig relatief verzuim is verbeterd</w:t>
      </w:r>
      <w:r w:rsidR="00CD5334">
        <w:t xml:space="preserve"> door meer aandacht en bewustwording voor deze problematiek</w:t>
      </w:r>
      <w:r w:rsidR="00CD5334" w:rsidRPr="00115BD8">
        <w:t>. Positief is dat bijna de helft van het aantal meldingen nog gedurende het lopende schooljaar</w:t>
      </w:r>
      <w:r w:rsidR="00CD5334">
        <w:t xml:space="preserve"> 2022-2023</w:t>
      </w:r>
      <w:r w:rsidR="00CD5334" w:rsidRPr="00115BD8">
        <w:t xml:space="preserve"> is opgelost. Dit betekent dat de leerling of jongere weer onderwijs volgt.</w:t>
      </w:r>
    </w:p>
    <w:p w14:paraId="2BD9F769" w14:textId="77777777" w:rsidR="00FF75C6" w:rsidRDefault="00FF75C6" w:rsidP="00CC6877"/>
    <w:p w14:paraId="5513E27D" w14:textId="59DF5008" w:rsidR="00D8536C" w:rsidRPr="00487CF4" w:rsidRDefault="00CD1F37" w:rsidP="00CC6877">
      <w:r>
        <w:rPr>
          <w:i/>
          <w:iCs/>
        </w:rPr>
        <w:t>Absoluut verzuim</w:t>
      </w:r>
      <w:r>
        <w:br/>
      </w:r>
      <w:r w:rsidR="00C921BE">
        <w:t>Daarnaast zien we</w:t>
      </w:r>
      <w:r w:rsidR="0072404D">
        <w:t xml:space="preserve">, net als </w:t>
      </w:r>
      <w:r w:rsidR="00D8536C">
        <w:t xml:space="preserve">in </w:t>
      </w:r>
      <w:r w:rsidR="0072404D">
        <w:t>schooljaar 2021-2022,</w:t>
      </w:r>
      <w:r w:rsidR="00C921BE">
        <w:t xml:space="preserve"> een</w:t>
      </w:r>
      <w:r w:rsidR="0072404D">
        <w:t xml:space="preserve"> sterke</w:t>
      </w:r>
      <w:r w:rsidR="00C921BE">
        <w:t xml:space="preserve"> stijging van het absoluut verzuim. </w:t>
      </w:r>
      <w:r w:rsidR="0072404D">
        <w:t>Het betreft k</w:t>
      </w:r>
      <w:r w:rsidR="0072404D" w:rsidRPr="0072404D">
        <w:t xml:space="preserve">walificatie- of </w:t>
      </w:r>
      <w:r w:rsidR="0072404D" w:rsidRPr="00115BD8">
        <w:t>leerplichtige jongeren die niet ingeschreven staa</w:t>
      </w:r>
      <w:r w:rsidR="00D8536C" w:rsidRPr="00115BD8">
        <w:t>n</w:t>
      </w:r>
      <w:r w:rsidR="0072404D" w:rsidRPr="00115BD8">
        <w:t xml:space="preserve"> bij een school of instelling en niet beschikken over een vrijstelling van de Leerplichtwet.</w:t>
      </w:r>
      <w:r w:rsidR="00216E21" w:rsidRPr="00115BD8">
        <w:t xml:space="preserve"> </w:t>
      </w:r>
      <w:r w:rsidR="0072404D" w:rsidRPr="00115BD8">
        <w:t>H</w:t>
      </w:r>
      <w:r w:rsidR="00BF45D2" w:rsidRPr="00115BD8">
        <w:t>et totale aantal meldingen van absoluut verzuim</w:t>
      </w:r>
      <w:r w:rsidR="0072404D" w:rsidRPr="00115BD8">
        <w:t xml:space="preserve"> is</w:t>
      </w:r>
      <w:r w:rsidR="00BF45D2" w:rsidRPr="00115BD8">
        <w:t xml:space="preserve"> met ongeveer 34% gestegen</w:t>
      </w:r>
      <w:r w:rsidR="00367734">
        <w:t xml:space="preserve"> </w:t>
      </w:r>
      <w:r w:rsidR="005456D7">
        <w:t>(</w:t>
      </w:r>
      <w:r w:rsidR="008B56C9">
        <w:t>circa 3500</w:t>
      </w:r>
      <w:r w:rsidR="005456D7">
        <w:t>)</w:t>
      </w:r>
      <w:r w:rsidR="00BF45D2" w:rsidRPr="00115BD8">
        <w:t xml:space="preserve">, </w:t>
      </w:r>
      <w:r w:rsidR="0072404D" w:rsidRPr="00115BD8">
        <w:t>waarbij het absoluut verzuim</w:t>
      </w:r>
      <w:r w:rsidR="00BF45D2" w:rsidRPr="00115BD8">
        <w:t xml:space="preserve"> langer dan drie maanden zelfs met ongeveer 74%</w:t>
      </w:r>
      <w:r w:rsidR="0072404D" w:rsidRPr="00115BD8">
        <w:t xml:space="preserve"> gestegen is</w:t>
      </w:r>
      <w:r w:rsidR="005456D7">
        <w:t xml:space="preserve"> (</w:t>
      </w:r>
      <w:r w:rsidR="008B56C9">
        <w:t>circa 2300</w:t>
      </w:r>
      <w:r w:rsidR="005456D7">
        <w:t>)</w:t>
      </w:r>
      <w:r w:rsidR="00BF45D2" w:rsidRPr="00115BD8">
        <w:t xml:space="preserve">. </w:t>
      </w:r>
      <w:r w:rsidR="0072404D" w:rsidRPr="00115BD8">
        <w:t>We zien verschillende</w:t>
      </w:r>
      <w:r w:rsidR="00115BD8" w:rsidRPr="00115BD8">
        <w:t xml:space="preserve"> mogelijke</w:t>
      </w:r>
      <w:r w:rsidR="0072404D" w:rsidRPr="00115BD8">
        <w:t xml:space="preserve"> redenen </w:t>
      </w:r>
      <w:r w:rsidR="00D8536C" w:rsidRPr="00115BD8">
        <w:t>voor</w:t>
      </w:r>
      <w:r w:rsidR="0072404D" w:rsidRPr="00115BD8">
        <w:t xml:space="preserve"> deze stijging</w:t>
      </w:r>
      <w:r w:rsidR="00115BD8" w:rsidRPr="00115BD8">
        <w:t xml:space="preserve">. Er is bijvoorbeeld </w:t>
      </w:r>
      <w:r w:rsidR="00D8536C" w:rsidRPr="00115BD8">
        <w:t>sprake van een</w:t>
      </w:r>
      <w:r w:rsidR="00795779" w:rsidRPr="00115BD8">
        <w:t xml:space="preserve"> instroom van een grote groep minderjarige leerplichtige asiel</w:t>
      </w:r>
      <w:r w:rsidR="007F4C01" w:rsidRPr="00115BD8">
        <w:t>zoekers</w:t>
      </w:r>
      <w:r w:rsidR="00795779" w:rsidRPr="00115BD8">
        <w:t xml:space="preserve">kinderen zonder schoolinschrijving die wel onderwijs moeten krijgen. </w:t>
      </w:r>
      <w:r w:rsidR="00115BD8" w:rsidRPr="00115BD8">
        <w:t>Echter zien we in de praktijk dat de opvangproblematiek in verscheidene gemeenten het onderwijs voor grote uitdagingen stelt. Zo is er niet voor elk kind in de leerplichtige</w:t>
      </w:r>
      <w:r w:rsidR="00115BD8">
        <w:t xml:space="preserve"> leeftijd meteen plaats in Internationale Schakelklassen, die kampen met wachtlijsten.</w:t>
      </w:r>
      <w:r w:rsidR="00487CF4">
        <w:t xml:space="preserve"> In oktober 2023 is daarom gestart met nieuwe noodregelgeving die </w:t>
      </w:r>
      <w:r w:rsidR="00487CF4" w:rsidRPr="00487CF4">
        <w:t xml:space="preserve">gemeenten en scholen meer mogelijkheden </w:t>
      </w:r>
      <w:r w:rsidR="00487CF4">
        <w:t xml:space="preserve">biedt </w:t>
      </w:r>
      <w:r w:rsidR="00487CF4" w:rsidRPr="00487CF4">
        <w:t>om in een noodsituatie tijdelijke nieuwkomersvoorzieningen in te richten</w:t>
      </w:r>
      <w:r w:rsidR="00FC195F">
        <w:t>.</w:t>
      </w:r>
      <w:r w:rsidR="00487CF4">
        <w:rPr>
          <w:rStyle w:val="Voetnootmarkering"/>
        </w:rPr>
        <w:footnoteReference w:id="2"/>
      </w:r>
      <w:r w:rsidR="00487CF4">
        <w:t xml:space="preserve"> De effecten hiervan </w:t>
      </w:r>
      <w:r w:rsidR="00FC195F">
        <w:t>zijn</w:t>
      </w:r>
      <w:r w:rsidR="00487CF4">
        <w:t xml:space="preserve"> </w:t>
      </w:r>
      <w:r w:rsidR="00487CF4" w:rsidRPr="00487CF4">
        <w:t xml:space="preserve">vanaf volgend </w:t>
      </w:r>
      <w:r w:rsidR="0051760B">
        <w:t>school</w:t>
      </w:r>
      <w:r w:rsidR="00487CF4" w:rsidRPr="00487CF4">
        <w:t>jaar zi</w:t>
      </w:r>
      <w:r w:rsidR="00FC195F">
        <w:t>chtbaar</w:t>
      </w:r>
      <w:r w:rsidR="00487CF4" w:rsidRPr="00487CF4">
        <w:t>.</w:t>
      </w:r>
    </w:p>
    <w:p w14:paraId="6033CBC7" w14:textId="77777777" w:rsidR="00D8536C" w:rsidRPr="00487CF4" w:rsidRDefault="00D8536C" w:rsidP="00CC6877"/>
    <w:p w14:paraId="21405364" w14:textId="64AA81EA" w:rsidR="0051760B" w:rsidRDefault="00795779" w:rsidP="00CC6877">
      <w:r w:rsidRPr="00487CF4">
        <w:t xml:space="preserve">Helaas </w:t>
      </w:r>
      <w:r w:rsidR="00EE500C" w:rsidRPr="00487CF4">
        <w:t xml:space="preserve">zagen </w:t>
      </w:r>
      <w:r w:rsidRPr="00487CF4">
        <w:t xml:space="preserve">we </w:t>
      </w:r>
      <w:r w:rsidR="00EE500C" w:rsidRPr="00487CF4">
        <w:t xml:space="preserve">in het eerste volledige schooljaar na de inval van Rusland in Oekraïne </w:t>
      </w:r>
      <w:r w:rsidRPr="00487CF4">
        <w:t xml:space="preserve">ook dat een </w:t>
      </w:r>
      <w:r w:rsidR="00D8536C" w:rsidRPr="00487CF4">
        <w:t xml:space="preserve">deel van de </w:t>
      </w:r>
      <w:r w:rsidRPr="00487CF4">
        <w:t xml:space="preserve">groep Oekraïense kinderen </w:t>
      </w:r>
      <w:r w:rsidR="006E4B66">
        <w:t>niet of pas later naa</w:t>
      </w:r>
      <w:r w:rsidR="00773A56">
        <w:t>r school gingen</w:t>
      </w:r>
      <w:r w:rsidR="00D8536C" w:rsidRPr="00487CF4">
        <w:t>.</w:t>
      </w:r>
      <w:r w:rsidRPr="00487CF4">
        <w:t xml:space="preserve"> </w:t>
      </w:r>
      <w:r w:rsidR="0022361D" w:rsidRPr="00487CF4">
        <w:t>Hoewel</w:t>
      </w:r>
      <w:r w:rsidR="00FF75C6" w:rsidRPr="00487CF4">
        <w:t xml:space="preserve"> naar schatting zo’n 90% van de </w:t>
      </w:r>
      <w:r w:rsidR="0051760B">
        <w:t xml:space="preserve">leerplichtige </w:t>
      </w:r>
      <w:r w:rsidR="00FF75C6" w:rsidRPr="00487CF4">
        <w:t xml:space="preserve">Oekraïense </w:t>
      </w:r>
      <w:r w:rsidR="0051760B">
        <w:t>kinderen</w:t>
      </w:r>
      <w:r w:rsidR="0051760B" w:rsidRPr="00487CF4">
        <w:t xml:space="preserve"> </w:t>
      </w:r>
      <w:r w:rsidR="009A5041">
        <w:t xml:space="preserve">op dit moment </w:t>
      </w:r>
      <w:r w:rsidR="00EE500C" w:rsidRPr="00487CF4">
        <w:t xml:space="preserve">ingeschreven </w:t>
      </w:r>
      <w:r w:rsidR="009A5041">
        <w:t>staat</w:t>
      </w:r>
      <w:r w:rsidR="00EE500C" w:rsidRPr="00487CF4">
        <w:t xml:space="preserve"> op </w:t>
      </w:r>
      <w:r w:rsidR="00FF75C6" w:rsidRPr="00487CF4">
        <w:t>een school</w:t>
      </w:r>
      <w:r w:rsidR="0022361D" w:rsidRPr="00487CF4">
        <w:t xml:space="preserve">, betekent dit tegelijkertijd dat zo’n 2000 Oekraïense </w:t>
      </w:r>
      <w:r w:rsidR="0051760B">
        <w:t>kinderen</w:t>
      </w:r>
      <w:r w:rsidR="0051760B" w:rsidRPr="00487CF4">
        <w:t xml:space="preserve"> </w:t>
      </w:r>
      <w:r w:rsidR="0022361D" w:rsidRPr="00487CF4">
        <w:t>niet naar school gaan</w:t>
      </w:r>
      <w:r w:rsidR="00EB38E9">
        <w:t>.</w:t>
      </w:r>
      <w:r w:rsidR="00487CF4">
        <w:rPr>
          <w:rStyle w:val="Voetnootmarkering"/>
        </w:rPr>
        <w:footnoteReference w:id="3"/>
      </w:r>
      <w:r w:rsidR="00FF75C6" w:rsidRPr="00487CF4">
        <w:t xml:space="preserve"> </w:t>
      </w:r>
      <w:r w:rsidR="00367734">
        <w:t>Gecorrigeerd voor deze groep kinderen blijft er een stijging over van ongeveer 1500 meldingen absoluut verzuim. He</w:t>
      </w:r>
      <w:r w:rsidR="00B04F22" w:rsidRPr="00487CF4">
        <w:t>t percentage onderwijsdeelname</w:t>
      </w:r>
      <w:r w:rsidR="0051760B">
        <w:t xml:space="preserve"> in de groep Oekraïense kinderen</w:t>
      </w:r>
      <w:r w:rsidR="00FF75C6" w:rsidRPr="00487CF4">
        <w:t xml:space="preserve"> is </w:t>
      </w:r>
      <w:r w:rsidR="00B04F22" w:rsidRPr="00487CF4">
        <w:t xml:space="preserve">overigens </w:t>
      </w:r>
      <w:r w:rsidR="00D8536C" w:rsidRPr="00487CF4">
        <w:t xml:space="preserve">hoger </w:t>
      </w:r>
      <w:r w:rsidR="00B04F22" w:rsidRPr="00487CF4">
        <w:t>dan</w:t>
      </w:r>
      <w:r w:rsidR="0051760B">
        <w:t xml:space="preserve"> in</w:t>
      </w:r>
      <w:r w:rsidR="00D8536C" w:rsidRPr="00487CF4">
        <w:t xml:space="preserve"> </w:t>
      </w:r>
      <w:r w:rsidR="00483EAB" w:rsidRPr="00487CF4">
        <w:t xml:space="preserve">vele </w:t>
      </w:r>
      <w:r w:rsidR="00FF75C6" w:rsidRPr="00487CF4">
        <w:t>andere Europese landen</w:t>
      </w:r>
      <w:r w:rsidR="00483EAB" w:rsidRPr="00487CF4">
        <w:t>.</w:t>
      </w:r>
      <w:r w:rsidR="00FF75C6" w:rsidRPr="00487CF4">
        <w:t xml:space="preserve"> </w:t>
      </w:r>
      <w:r w:rsidR="00483EAB" w:rsidRPr="00487CF4">
        <w:t>Het Europese gemiddelde ligt rond de 50%</w:t>
      </w:r>
      <w:r w:rsidR="000C61A3">
        <w:t>.</w:t>
      </w:r>
      <w:r w:rsidR="00483EAB" w:rsidRPr="00487CF4">
        <w:rPr>
          <w:rStyle w:val="Voetnootmarkering"/>
        </w:rPr>
        <w:footnoteReference w:id="4"/>
      </w:r>
      <w:r w:rsidR="00FF75C6" w:rsidRPr="00487CF4">
        <w:t xml:space="preserve"> </w:t>
      </w:r>
      <w:r w:rsidR="0051760B">
        <w:t xml:space="preserve">Het streven is echter dat alle </w:t>
      </w:r>
      <w:r w:rsidR="00773A56">
        <w:t>Oekraïense</w:t>
      </w:r>
      <w:r w:rsidR="0051760B">
        <w:t xml:space="preserve"> kinderen een goede plek in het onderwijs vinden. </w:t>
      </w:r>
    </w:p>
    <w:p w14:paraId="2E264E37" w14:textId="77777777" w:rsidR="0051760B" w:rsidRDefault="0051760B" w:rsidP="00CC6877"/>
    <w:p w14:paraId="2F5BAD5E" w14:textId="44CD64E5" w:rsidR="00291569" w:rsidRPr="00FF75C6" w:rsidRDefault="00ED6470" w:rsidP="00CC6877">
      <w:pPr>
        <w:rPr>
          <w:color w:val="FF0000"/>
        </w:rPr>
      </w:pPr>
      <w:r w:rsidRPr="00487CF4">
        <w:t>Ook wordt een</w:t>
      </w:r>
      <w:r w:rsidR="00F947C7" w:rsidRPr="00487CF4">
        <w:t xml:space="preserve"> deel</w:t>
      </w:r>
      <w:r w:rsidRPr="00487CF4">
        <w:t xml:space="preserve"> van het absoluut verzuim veroorzaakt </w:t>
      </w:r>
      <w:r w:rsidR="00BF45D2" w:rsidRPr="00487CF4">
        <w:t xml:space="preserve">door wachtlijsten bij </w:t>
      </w:r>
      <w:r w:rsidR="00FF75C6" w:rsidRPr="00487CF4">
        <w:t>(nieuwkomers)</w:t>
      </w:r>
      <w:r w:rsidR="00BF45D2" w:rsidRPr="00487CF4">
        <w:t>onderwijs</w:t>
      </w:r>
      <w:r w:rsidR="005533CD" w:rsidRPr="00487CF4">
        <w:t xml:space="preserve"> en </w:t>
      </w:r>
      <w:r w:rsidR="00BF45D2" w:rsidRPr="00487CF4">
        <w:t>hulpverlening</w:t>
      </w:r>
      <w:r w:rsidR="00FF75C6" w:rsidRPr="00487CF4">
        <w:t xml:space="preserve">. </w:t>
      </w:r>
      <w:r w:rsidR="00BF45D2" w:rsidRPr="00487CF4">
        <w:t>Dat kwam onder meer doordat de capaciteit van het onderwijs aan nieuwkomers te beperkt</w:t>
      </w:r>
      <w:r w:rsidR="00BF45D2">
        <w:t xml:space="preserve"> was om deze grotere aantallen op te kunnen vangen.</w:t>
      </w:r>
      <w:r w:rsidR="00E07DCA">
        <w:t xml:space="preserve"> </w:t>
      </w:r>
      <w:r w:rsidR="00F947C7">
        <w:t>G</w:t>
      </w:r>
      <w:r w:rsidR="00BF45D2">
        <w:t xml:space="preserve">emeenten </w:t>
      </w:r>
      <w:r w:rsidR="00F947C7">
        <w:t xml:space="preserve">geven </w:t>
      </w:r>
      <w:r w:rsidR="00BF45D2">
        <w:t xml:space="preserve">in het onderzoek van Ingrado </w:t>
      </w:r>
      <w:r w:rsidR="006F6A55">
        <w:t xml:space="preserve">ook </w:t>
      </w:r>
      <w:r w:rsidR="00BF45D2">
        <w:t xml:space="preserve">aan dat een deel van </w:t>
      </w:r>
      <w:r w:rsidR="00C708B6">
        <w:t>het</w:t>
      </w:r>
      <w:r w:rsidR="008641A2">
        <w:t xml:space="preserve"> absoluut verzuim</w:t>
      </w:r>
      <w:r w:rsidR="00BF45D2">
        <w:t xml:space="preserve"> ook door administratieve redenen (foutief) als absoluut verzuim zijn aangemerkt.</w:t>
      </w:r>
    </w:p>
    <w:p w14:paraId="71337D4A" w14:textId="5F5A858E" w:rsidR="005533CD" w:rsidRDefault="005533CD" w:rsidP="00CC6877"/>
    <w:p w14:paraId="0BD6AD1B" w14:textId="503D1DC5" w:rsidR="0051760B" w:rsidRDefault="00CD1F37" w:rsidP="00CC6877">
      <w:r>
        <w:rPr>
          <w:i/>
          <w:iCs/>
        </w:rPr>
        <w:t xml:space="preserve">Vrijstelling artikel 5 onderdeel a </w:t>
      </w:r>
      <w:r>
        <w:br/>
      </w:r>
      <w:r w:rsidR="00F947C7">
        <w:t>H</w:t>
      </w:r>
      <w:r w:rsidR="005533CD">
        <w:t xml:space="preserve">et aantal vrijstellingen </w:t>
      </w:r>
      <w:r w:rsidR="0051760B">
        <w:t xml:space="preserve">op basis van </w:t>
      </w:r>
      <w:r w:rsidR="005533CD">
        <w:t>artikel 5</w:t>
      </w:r>
      <w:r w:rsidR="00B9612F">
        <w:t xml:space="preserve"> </w:t>
      </w:r>
      <w:r w:rsidR="0051760B">
        <w:t>(</w:t>
      </w:r>
      <w:r w:rsidR="00B9612F">
        <w:t>onder</w:t>
      </w:r>
      <w:r w:rsidR="00057D3F">
        <w:t>deel</w:t>
      </w:r>
      <w:r w:rsidR="00B9612F">
        <w:t xml:space="preserve"> </w:t>
      </w:r>
      <w:r w:rsidR="005533CD">
        <w:t>a</w:t>
      </w:r>
      <w:r w:rsidR="0051760B">
        <w:t>)</w:t>
      </w:r>
      <w:r w:rsidR="00057D3F">
        <w:t xml:space="preserve"> van de Leerplichtwet 1969</w:t>
      </w:r>
      <w:r w:rsidR="005533CD">
        <w:t xml:space="preserve"> (leerlingen die op psychische of lichamelijke gronden geen onderwijs kunnen volgen</w:t>
      </w:r>
      <w:r w:rsidR="0051760B">
        <w:t xml:space="preserve"> en daarom zijn vrijgesteld</w:t>
      </w:r>
      <w:r w:rsidR="005533CD">
        <w:t xml:space="preserve">) </w:t>
      </w:r>
      <w:r w:rsidR="00F947C7">
        <w:t>is</w:t>
      </w:r>
      <w:r w:rsidR="0051760B">
        <w:t xml:space="preserve"> </w:t>
      </w:r>
      <w:r w:rsidR="00D65A06">
        <w:t xml:space="preserve">met zo’n 14% </w:t>
      </w:r>
      <w:r w:rsidR="005533CD">
        <w:t>gestegen</w:t>
      </w:r>
      <w:r w:rsidR="008B56C9">
        <w:t xml:space="preserve"> (circa 1000)</w:t>
      </w:r>
      <w:r w:rsidR="005533CD">
        <w:t>. Hoewel dit deels kan worden verklaard door een inhaalslag bij en verbetering van de registratie van vrijstellingen, speelt volgens het onderzoek van Ingrado ook mee dat er in groeiende mate sprake is van een mismatch tussen onderwijs</w:t>
      </w:r>
      <w:r w:rsidR="008903FC">
        <w:t xml:space="preserve">, het </w:t>
      </w:r>
      <w:r w:rsidR="005533CD">
        <w:t xml:space="preserve">zorgaanbod en de behoeften van leerlingen. Zo is er op verschillende plekken </w:t>
      </w:r>
      <w:r w:rsidR="00D65A06">
        <w:t>de indruk dat</w:t>
      </w:r>
      <w:r w:rsidR="005533CD">
        <w:t xml:space="preserve"> internaliserende problematiek</w:t>
      </w:r>
      <w:r w:rsidR="00D65A06">
        <w:t xml:space="preserve"> toeneemt</w:t>
      </w:r>
      <w:r w:rsidR="00B13DBB">
        <w:t xml:space="preserve"> als gevolg van, onder andere, de juiste beschikbaarheid ervan</w:t>
      </w:r>
      <w:r w:rsidR="005533CD">
        <w:t xml:space="preserve">. </w:t>
      </w:r>
      <w:r w:rsidR="008903FC">
        <w:t xml:space="preserve">Dit zijn emotionele problemen waar het kind zelf last van </w:t>
      </w:r>
      <w:r w:rsidR="00B13DBB">
        <w:t>ervaart</w:t>
      </w:r>
      <w:r w:rsidR="008903FC">
        <w:t xml:space="preserve"> als angsten of depressies. Tot slot ziet een deel van de gemeenten een stijging van het aantal vrijstellingen voor kinderen die niet eerder onderwijs hebben ontvangen.</w:t>
      </w:r>
    </w:p>
    <w:p w14:paraId="5D5DDFF5" w14:textId="77777777" w:rsidR="0051760B" w:rsidRDefault="0051760B" w:rsidP="00CC6877"/>
    <w:p w14:paraId="3AB93799" w14:textId="4649A125" w:rsidR="00E07DCA" w:rsidRDefault="005533CD" w:rsidP="00CC6877">
      <w:r>
        <w:t>Het onderzoek van</w:t>
      </w:r>
      <w:r w:rsidR="00166788">
        <w:t xml:space="preserve"> OCW in samenwerking met het</w:t>
      </w:r>
      <w:r>
        <w:t xml:space="preserve"> minister</w:t>
      </w:r>
      <w:r w:rsidR="00166788">
        <w:t>ie</w:t>
      </w:r>
      <w:r>
        <w:t xml:space="preserve"> van Volksgezondheid, Welzijn en Sport </w:t>
      </w:r>
      <w:r w:rsidR="00B13DBB">
        <w:t xml:space="preserve">en het ministerie van Sociale Zaken en Werkgelegenheid </w:t>
      </w:r>
      <w:r w:rsidR="00A21E6B">
        <w:t>genaamd ‘</w:t>
      </w:r>
      <w:r>
        <w:t xml:space="preserve">Druk op de </w:t>
      </w:r>
      <w:r w:rsidR="00A21E6B">
        <w:t>Keten</w:t>
      </w:r>
      <w:r w:rsidR="003A2547">
        <w:t>’</w:t>
      </w:r>
      <w:r w:rsidR="00A21E6B">
        <w:t xml:space="preserve"> gaat</w:t>
      </w:r>
      <w:r>
        <w:t xml:space="preserve"> ook in op dit probleem</w:t>
      </w:r>
      <w:r w:rsidR="003F07B0">
        <w:t>.</w:t>
      </w:r>
      <w:r>
        <w:rPr>
          <w:rStyle w:val="Voetnootmarkering"/>
        </w:rPr>
        <w:footnoteReference w:id="5"/>
      </w:r>
      <w:r>
        <w:t xml:space="preserve"> Dit rapport </w:t>
      </w:r>
      <w:r w:rsidR="00F77FD9">
        <w:t xml:space="preserve">- hoewel het zich baseert op oudere cijfers, waarin de stijging echter ook al zichtbaar was - </w:t>
      </w:r>
      <w:r w:rsidR="00D65A06">
        <w:t xml:space="preserve">benoemd als verklaring voor de stijging in het gebruik van deze </w:t>
      </w:r>
      <w:r w:rsidR="00D65A06">
        <w:lastRenderedPageBreak/>
        <w:t>vrijstelling de</w:t>
      </w:r>
      <w:r w:rsidR="00B9612F">
        <w:t xml:space="preserve"> personeelstekorten</w:t>
      </w:r>
      <w:r w:rsidR="00D65A06">
        <w:t xml:space="preserve"> in onderwijs en zorg</w:t>
      </w:r>
      <w:r w:rsidR="00F77FD9">
        <w:t>.</w:t>
      </w:r>
      <w:r w:rsidR="00B9612F">
        <w:t xml:space="preserve"> </w:t>
      </w:r>
      <w:r w:rsidR="00F77FD9">
        <w:t xml:space="preserve">Daarnaast wijst het rapport op een </w:t>
      </w:r>
      <w:r w:rsidR="00B9612F">
        <w:t xml:space="preserve">door ouders ervaren gebrek aan passend onderwijsaanbod. Zij voegen </w:t>
      </w:r>
      <w:r w:rsidR="00A21E6B">
        <w:t>daaraantoe</w:t>
      </w:r>
      <w:r w:rsidR="00B9612F">
        <w:t xml:space="preserve"> dat </w:t>
      </w:r>
      <w:r w:rsidR="00F947C7">
        <w:t xml:space="preserve">een aantal </w:t>
      </w:r>
      <w:r w:rsidR="00B9612F">
        <w:t xml:space="preserve">gemeenten </w:t>
      </w:r>
      <w:r w:rsidR="003F07B0">
        <w:t xml:space="preserve">mogelijk </w:t>
      </w:r>
      <w:r w:rsidR="00B9612F">
        <w:t>een vrijstelling van de leerplicht als voorwaarde stel</w:t>
      </w:r>
      <w:r w:rsidR="00F77FD9">
        <w:t>t</w:t>
      </w:r>
      <w:r w:rsidR="00B9612F">
        <w:t xml:space="preserve"> voor een aanvraag voor een persoonsgebonden budget, zelfs wanneer zij wel onderwijs kunnen volgen indien aanvullende ondersteuning beschikbaar is. Deze bevindingen benadrukken voor mij de noodzaak </w:t>
      </w:r>
      <w:r w:rsidR="009245CC">
        <w:t xml:space="preserve">voor het aanscherpen van de procedure </w:t>
      </w:r>
      <w:r w:rsidR="00F77FD9">
        <w:t xml:space="preserve">om te komen tot een </w:t>
      </w:r>
      <w:r w:rsidR="009245CC">
        <w:t>vrijstelling</w:t>
      </w:r>
      <w:r w:rsidR="00F77FD9">
        <w:t xml:space="preserve"> op grond van ‘</w:t>
      </w:r>
      <w:r w:rsidR="009245CC">
        <w:t>5 onderdeel a</w:t>
      </w:r>
      <w:r w:rsidR="00F77FD9">
        <w:t>’</w:t>
      </w:r>
      <w:r w:rsidR="009245CC">
        <w:t xml:space="preserve"> door </w:t>
      </w:r>
      <w:r w:rsidR="00A21E6B">
        <w:t>het onderwijskundig</w:t>
      </w:r>
      <w:r w:rsidR="00B9612F">
        <w:t xml:space="preserve"> perspectief </w:t>
      </w:r>
      <w:r w:rsidR="00057D3F">
        <w:t xml:space="preserve">mee te nemen, </w:t>
      </w:r>
      <w:r w:rsidR="00B9612F">
        <w:t xml:space="preserve">zoals voornomen bij het wetsvoorstel Terugdringen </w:t>
      </w:r>
      <w:r w:rsidR="00C708B6">
        <w:t>verzuim</w:t>
      </w:r>
      <w:r w:rsidR="00B9612F">
        <w:t>.</w:t>
      </w:r>
    </w:p>
    <w:p w14:paraId="2A1D6A5B" w14:textId="77777777" w:rsidR="00E07DCA" w:rsidRDefault="00E07DCA" w:rsidP="00CC6877"/>
    <w:p w14:paraId="3E7146C1" w14:textId="3D483F16" w:rsidR="00AE6CD0" w:rsidRPr="0014393C" w:rsidRDefault="00AE6CD0" w:rsidP="00B70B2C">
      <w:pPr>
        <w:spacing w:after="200" w:line="276" w:lineRule="auto"/>
      </w:pPr>
      <w:r w:rsidRPr="0014393C">
        <w:t>Tabel</w:t>
      </w:r>
      <w:r w:rsidR="008641A2">
        <w:t xml:space="preserve"> 1</w:t>
      </w:r>
      <w:r w:rsidRPr="0014393C">
        <w:t>: Verzuimcijfers schooljaar 202</w:t>
      </w:r>
      <w:r w:rsidR="00B70B2C">
        <w:t>2</w:t>
      </w:r>
      <w:r w:rsidRPr="0014393C">
        <w:t>/202</w:t>
      </w:r>
      <w:r w:rsidR="00B70B2C">
        <w:t>3</w:t>
      </w:r>
    </w:p>
    <w:tbl>
      <w:tblPr>
        <w:tblStyle w:val="Tabelraster"/>
        <w:tblW w:w="9356" w:type="dxa"/>
        <w:tblLook w:val="04A0" w:firstRow="1" w:lastRow="0" w:firstColumn="1" w:lastColumn="0" w:noHBand="0" w:noVBand="1"/>
      </w:tblPr>
      <w:tblGrid>
        <w:gridCol w:w="1312"/>
        <w:gridCol w:w="1108"/>
        <w:gridCol w:w="1134"/>
        <w:gridCol w:w="1549"/>
        <w:gridCol w:w="1843"/>
        <w:gridCol w:w="2410"/>
      </w:tblGrid>
      <w:tr w:rsidR="00B70B2C" w14:paraId="3E3160BF" w14:textId="06DB2D21" w:rsidTr="00B70B2C">
        <w:tc>
          <w:tcPr>
            <w:tcW w:w="1312" w:type="dxa"/>
            <w:tcBorders>
              <w:top w:val="nil"/>
              <w:left w:val="nil"/>
              <w:bottom w:val="nil"/>
            </w:tcBorders>
          </w:tcPr>
          <w:p w14:paraId="49A7BFCB" w14:textId="77777777" w:rsidR="00B70B2C" w:rsidRDefault="00B70B2C" w:rsidP="00C24DFF"/>
        </w:tc>
        <w:tc>
          <w:tcPr>
            <w:tcW w:w="5634" w:type="dxa"/>
            <w:gridSpan w:val="4"/>
          </w:tcPr>
          <w:p w14:paraId="366478F7" w14:textId="30D6714B" w:rsidR="00B70B2C" w:rsidRDefault="00B70B2C" w:rsidP="00C24DFF">
            <w:r>
              <w:t>Verzuim</w:t>
            </w:r>
          </w:p>
        </w:tc>
        <w:tc>
          <w:tcPr>
            <w:tcW w:w="2410" w:type="dxa"/>
          </w:tcPr>
          <w:p w14:paraId="47816396" w14:textId="19174883" w:rsidR="00B70B2C" w:rsidRDefault="00B70B2C" w:rsidP="00C24DFF">
            <w:r>
              <w:t>Vrijstellingen</w:t>
            </w:r>
          </w:p>
        </w:tc>
      </w:tr>
      <w:tr w:rsidR="00B70B2C" w14:paraId="09DF75A0" w14:textId="77777777" w:rsidTr="00B70B2C">
        <w:trPr>
          <w:trHeight w:val="641"/>
        </w:trPr>
        <w:tc>
          <w:tcPr>
            <w:tcW w:w="1312" w:type="dxa"/>
            <w:tcBorders>
              <w:top w:val="nil"/>
              <w:left w:val="nil"/>
            </w:tcBorders>
          </w:tcPr>
          <w:p w14:paraId="6A414A67" w14:textId="77777777" w:rsidR="00B70B2C" w:rsidRDefault="00B70B2C" w:rsidP="00C24DFF"/>
        </w:tc>
        <w:tc>
          <w:tcPr>
            <w:tcW w:w="0" w:type="auto"/>
            <w:vMerge w:val="restart"/>
          </w:tcPr>
          <w:p w14:paraId="65D03FEF" w14:textId="34F46F27" w:rsidR="00B70B2C" w:rsidRDefault="00B70B2C" w:rsidP="00C24DFF">
            <w:r>
              <w:t>Absoluut verzuim totaal</w:t>
            </w:r>
          </w:p>
        </w:tc>
        <w:tc>
          <w:tcPr>
            <w:tcW w:w="0" w:type="auto"/>
            <w:vMerge w:val="restart"/>
          </w:tcPr>
          <w:p w14:paraId="0131B0F5" w14:textId="32FADDFF" w:rsidR="00B70B2C" w:rsidRDefault="00B70B2C" w:rsidP="00C24DFF">
            <w:r>
              <w:t>Absoluut verzuim &gt; 3 mnd.</w:t>
            </w:r>
          </w:p>
        </w:tc>
        <w:tc>
          <w:tcPr>
            <w:tcW w:w="1549" w:type="dxa"/>
            <w:vMerge w:val="restart"/>
          </w:tcPr>
          <w:p w14:paraId="6A5E6784" w14:textId="5682F0A5" w:rsidR="00B70B2C" w:rsidRDefault="00B70B2C" w:rsidP="00C24DFF">
            <w:r>
              <w:t>Langdurig relatief verzuim totaal</w:t>
            </w:r>
          </w:p>
        </w:tc>
        <w:tc>
          <w:tcPr>
            <w:tcW w:w="1843" w:type="dxa"/>
            <w:vMerge w:val="restart"/>
          </w:tcPr>
          <w:p w14:paraId="29B80144" w14:textId="77777777" w:rsidR="00B70B2C" w:rsidRDefault="00B70B2C" w:rsidP="00C24DFF">
            <w:r>
              <w:t xml:space="preserve">Langdurig relatief verzuim </w:t>
            </w:r>
          </w:p>
          <w:p w14:paraId="42B61BDB" w14:textId="35074A21" w:rsidR="00B70B2C" w:rsidRDefault="00B70B2C" w:rsidP="00C24DFF">
            <w:r>
              <w:t>&gt; 3mnd.</w:t>
            </w:r>
          </w:p>
        </w:tc>
        <w:tc>
          <w:tcPr>
            <w:tcW w:w="2410" w:type="dxa"/>
            <w:vMerge w:val="restart"/>
          </w:tcPr>
          <w:p w14:paraId="5F576AE3" w14:textId="4732B1C9" w:rsidR="00B70B2C" w:rsidRDefault="00B70B2C" w:rsidP="00C24DFF">
            <w:r>
              <w:t>Vrijstellingen 5 onder a</w:t>
            </w:r>
          </w:p>
        </w:tc>
      </w:tr>
      <w:tr w:rsidR="00B70B2C" w14:paraId="128EE0C2" w14:textId="77777777" w:rsidTr="00B70B2C">
        <w:tc>
          <w:tcPr>
            <w:tcW w:w="1312" w:type="dxa"/>
          </w:tcPr>
          <w:p w14:paraId="4801F803" w14:textId="076DB342" w:rsidR="00B70B2C" w:rsidRDefault="00B70B2C" w:rsidP="00C24DFF">
            <w:r>
              <w:t>Schooljaar</w:t>
            </w:r>
          </w:p>
        </w:tc>
        <w:tc>
          <w:tcPr>
            <w:tcW w:w="0" w:type="auto"/>
            <w:vMerge/>
          </w:tcPr>
          <w:p w14:paraId="0E945ABE" w14:textId="3A9D05CD" w:rsidR="00B70B2C" w:rsidRDefault="00B70B2C" w:rsidP="00C24DFF"/>
        </w:tc>
        <w:tc>
          <w:tcPr>
            <w:tcW w:w="0" w:type="auto"/>
            <w:vMerge/>
          </w:tcPr>
          <w:p w14:paraId="6C69E1B8" w14:textId="569526B5" w:rsidR="00B70B2C" w:rsidRDefault="00B70B2C" w:rsidP="00C24DFF"/>
        </w:tc>
        <w:tc>
          <w:tcPr>
            <w:tcW w:w="1549" w:type="dxa"/>
            <w:vMerge/>
          </w:tcPr>
          <w:p w14:paraId="3505409D" w14:textId="3B696CE2" w:rsidR="00B70B2C" w:rsidRDefault="00B70B2C" w:rsidP="00C24DFF"/>
        </w:tc>
        <w:tc>
          <w:tcPr>
            <w:tcW w:w="1843" w:type="dxa"/>
            <w:vMerge/>
          </w:tcPr>
          <w:p w14:paraId="258C88C0" w14:textId="0D64ADEE" w:rsidR="00B70B2C" w:rsidRDefault="00B70B2C" w:rsidP="00C24DFF"/>
        </w:tc>
        <w:tc>
          <w:tcPr>
            <w:tcW w:w="2410" w:type="dxa"/>
            <w:vMerge/>
          </w:tcPr>
          <w:p w14:paraId="1B66ECB1" w14:textId="2067BFB8" w:rsidR="00B70B2C" w:rsidRDefault="00B70B2C" w:rsidP="00C24DFF"/>
        </w:tc>
      </w:tr>
      <w:tr w:rsidR="00B70B2C" w14:paraId="460009E8" w14:textId="1A602570" w:rsidTr="00B70B2C">
        <w:tc>
          <w:tcPr>
            <w:tcW w:w="1312" w:type="dxa"/>
          </w:tcPr>
          <w:p w14:paraId="23A3B533" w14:textId="538F0715" w:rsidR="00B70B2C" w:rsidRDefault="00B70B2C" w:rsidP="00C24DFF">
            <w:r>
              <w:t>2014-2015</w:t>
            </w:r>
          </w:p>
        </w:tc>
        <w:tc>
          <w:tcPr>
            <w:tcW w:w="0" w:type="auto"/>
          </w:tcPr>
          <w:p w14:paraId="5A6B3852" w14:textId="60AB2E19" w:rsidR="00B70B2C" w:rsidRDefault="00B70B2C" w:rsidP="00C24DFF">
            <w:r>
              <w:t>5956</w:t>
            </w:r>
          </w:p>
        </w:tc>
        <w:tc>
          <w:tcPr>
            <w:tcW w:w="0" w:type="auto"/>
          </w:tcPr>
          <w:p w14:paraId="5E5C96FA" w14:textId="45818B55" w:rsidR="00B70B2C" w:rsidRDefault="00B70B2C" w:rsidP="00C24DFF">
            <w:r>
              <w:t>1660</w:t>
            </w:r>
          </w:p>
        </w:tc>
        <w:tc>
          <w:tcPr>
            <w:tcW w:w="1549" w:type="dxa"/>
          </w:tcPr>
          <w:p w14:paraId="2118D1F5" w14:textId="18EFAABB" w:rsidR="00B70B2C" w:rsidRDefault="00B70B2C" w:rsidP="00C24DFF">
            <w:r>
              <w:t>4016</w:t>
            </w:r>
          </w:p>
        </w:tc>
        <w:tc>
          <w:tcPr>
            <w:tcW w:w="1843" w:type="dxa"/>
          </w:tcPr>
          <w:p w14:paraId="503B7560" w14:textId="261AEF20" w:rsidR="00B70B2C" w:rsidRDefault="00B70B2C" w:rsidP="00C24DFF">
            <w:r>
              <w:t>2232</w:t>
            </w:r>
          </w:p>
        </w:tc>
        <w:tc>
          <w:tcPr>
            <w:tcW w:w="2410" w:type="dxa"/>
          </w:tcPr>
          <w:p w14:paraId="1412C7C2" w14:textId="7EFAB7C3" w:rsidR="00B70B2C" w:rsidRDefault="00B70B2C" w:rsidP="00C24DFF">
            <w:r>
              <w:t>5077</w:t>
            </w:r>
          </w:p>
        </w:tc>
      </w:tr>
      <w:tr w:rsidR="00B70B2C" w14:paraId="5CF066B7" w14:textId="2446902B" w:rsidTr="00B70B2C">
        <w:tc>
          <w:tcPr>
            <w:tcW w:w="1312" w:type="dxa"/>
          </w:tcPr>
          <w:p w14:paraId="0A88E359" w14:textId="7ADCDBE0" w:rsidR="00B70B2C" w:rsidRDefault="00B70B2C" w:rsidP="00AE6CD0">
            <w:r>
              <w:t>2015-2016</w:t>
            </w:r>
          </w:p>
        </w:tc>
        <w:tc>
          <w:tcPr>
            <w:tcW w:w="0" w:type="auto"/>
          </w:tcPr>
          <w:p w14:paraId="40868D8C" w14:textId="5EF0FC1C" w:rsidR="00B70B2C" w:rsidRDefault="00B70B2C" w:rsidP="00C24DFF">
            <w:r>
              <w:t>5101</w:t>
            </w:r>
          </w:p>
        </w:tc>
        <w:tc>
          <w:tcPr>
            <w:tcW w:w="0" w:type="auto"/>
          </w:tcPr>
          <w:p w14:paraId="04F100E4" w14:textId="4E07F6B8" w:rsidR="00B70B2C" w:rsidRDefault="00B70B2C" w:rsidP="00C24DFF">
            <w:r>
              <w:t>1602</w:t>
            </w:r>
          </w:p>
        </w:tc>
        <w:tc>
          <w:tcPr>
            <w:tcW w:w="1549" w:type="dxa"/>
          </w:tcPr>
          <w:p w14:paraId="2CBBD3D1" w14:textId="4BA5D06A" w:rsidR="00B70B2C" w:rsidRDefault="00B70B2C" w:rsidP="00C24DFF">
            <w:r>
              <w:t>4287</w:t>
            </w:r>
          </w:p>
        </w:tc>
        <w:tc>
          <w:tcPr>
            <w:tcW w:w="1843" w:type="dxa"/>
          </w:tcPr>
          <w:p w14:paraId="3CB9BA1D" w14:textId="5587D32E" w:rsidR="00B70B2C" w:rsidRDefault="00B70B2C" w:rsidP="00C24DFF">
            <w:r>
              <w:t>2592</w:t>
            </w:r>
          </w:p>
        </w:tc>
        <w:tc>
          <w:tcPr>
            <w:tcW w:w="2410" w:type="dxa"/>
          </w:tcPr>
          <w:p w14:paraId="3C25C56C" w14:textId="771658F0" w:rsidR="00B70B2C" w:rsidRDefault="00B70B2C" w:rsidP="00C24DFF">
            <w:r>
              <w:t>5537</w:t>
            </w:r>
          </w:p>
        </w:tc>
      </w:tr>
      <w:tr w:rsidR="00B70B2C" w14:paraId="1BE3A815" w14:textId="4FD1E85E" w:rsidTr="00B70B2C">
        <w:tc>
          <w:tcPr>
            <w:tcW w:w="1312" w:type="dxa"/>
          </w:tcPr>
          <w:p w14:paraId="0DA17451" w14:textId="61970D0F" w:rsidR="00B70B2C" w:rsidRDefault="00B70B2C" w:rsidP="00AE6CD0">
            <w:r>
              <w:t>2016-2017</w:t>
            </w:r>
          </w:p>
        </w:tc>
        <w:tc>
          <w:tcPr>
            <w:tcW w:w="0" w:type="auto"/>
          </w:tcPr>
          <w:p w14:paraId="05F8083E" w14:textId="47F7BA9B" w:rsidR="00B70B2C" w:rsidRDefault="00B70B2C" w:rsidP="00C24DFF">
            <w:r>
              <w:t>4565</w:t>
            </w:r>
          </w:p>
        </w:tc>
        <w:tc>
          <w:tcPr>
            <w:tcW w:w="0" w:type="auto"/>
          </w:tcPr>
          <w:p w14:paraId="1760EA93" w14:textId="185BEC44" w:rsidR="00B70B2C" w:rsidRDefault="00B70B2C" w:rsidP="00C24DFF">
            <w:r>
              <w:t>1700</w:t>
            </w:r>
          </w:p>
        </w:tc>
        <w:tc>
          <w:tcPr>
            <w:tcW w:w="1549" w:type="dxa"/>
          </w:tcPr>
          <w:p w14:paraId="7C13B7C8" w14:textId="25DDCAE5" w:rsidR="00B70B2C" w:rsidRDefault="00B70B2C" w:rsidP="00C24DFF">
            <w:r>
              <w:t>4116</w:t>
            </w:r>
          </w:p>
        </w:tc>
        <w:tc>
          <w:tcPr>
            <w:tcW w:w="1843" w:type="dxa"/>
          </w:tcPr>
          <w:p w14:paraId="1B7E5E35" w14:textId="4ED9E94F" w:rsidR="00B70B2C" w:rsidRDefault="00B70B2C" w:rsidP="00C24DFF">
            <w:r>
              <w:t>2514</w:t>
            </w:r>
          </w:p>
        </w:tc>
        <w:tc>
          <w:tcPr>
            <w:tcW w:w="2410" w:type="dxa"/>
          </w:tcPr>
          <w:p w14:paraId="59F0D61E" w14:textId="1C800442" w:rsidR="00B70B2C" w:rsidRDefault="00B70B2C" w:rsidP="00C24DFF">
            <w:r>
              <w:t>5736</w:t>
            </w:r>
          </w:p>
        </w:tc>
      </w:tr>
      <w:tr w:rsidR="00B70B2C" w14:paraId="71353EAA" w14:textId="77777777" w:rsidTr="00B70B2C">
        <w:tc>
          <w:tcPr>
            <w:tcW w:w="1312" w:type="dxa"/>
          </w:tcPr>
          <w:p w14:paraId="7DB06262" w14:textId="140B9320" w:rsidR="00B70B2C" w:rsidRDefault="00B70B2C" w:rsidP="00893722">
            <w:r>
              <w:t>2017-2018</w:t>
            </w:r>
          </w:p>
        </w:tc>
        <w:tc>
          <w:tcPr>
            <w:tcW w:w="0" w:type="auto"/>
          </w:tcPr>
          <w:p w14:paraId="72BB333F" w14:textId="750B4ADC" w:rsidR="00B70B2C" w:rsidRDefault="00B70B2C" w:rsidP="00893722">
            <w:r>
              <w:t>4515</w:t>
            </w:r>
          </w:p>
        </w:tc>
        <w:tc>
          <w:tcPr>
            <w:tcW w:w="0" w:type="auto"/>
          </w:tcPr>
          <w:p w14:paraId="12A9FC96" w14:textId="4D43C8AA" w:rsidR="00B70B2C" w:rsidRDefault="00B70B2C" w:rsidP="00893722">
            <w:r>
              <w:t>1972</w:t>
            </w:r>
          </w:p>
        </w:tc>
        <w:tc>
          <w:tcPr>
            <w:tcW w:w="1549" w:type="dxa"/>
          </w:tcPr>
          <w:p w14:paraId="1E4BD458" w14:textId="3C760D95" w:rsidR="00B70B2C" w:rsidRDefault="00B70B2C" w:rsidP="00893722">
            <w:r>
              <w:t>4174</w:t>
            </w:r>
          </w:p>
        </w:tc>
        <w:tc>
          <w:tcPr>
            <w:tcW w:w="1843" w:type="dxa"/>
          </w:tcPr>
          <w:p w14:paraId="5E1E033E" w14:textId="17F3CF38" w:rsidR="00B70B2C" w:rsidRDefault="00B70B2C" w:rsidP="00893722">
            <w:r>
              <w:t>2507</w:t>
            </w:r>
          </w:p>
        </w:tc>
        <w:tc>
          <w:tcPr>
            <w:tcW w:w="2410" w:type="dxa"/>
          </w:tcPr>
          <w:p w14:paraId="406F421B" w14:textId="7F6152C2" w:rsidR="00B70B2C" w:rsidRDefault="00B70B2C" w:rsidP="00893722">
            <w:r>
              <w:t>5576</w:t>
            </w:r>
          </w:p>
        </w:tc>
      </w:tr>
      <w:tr w:rsidR="00B70B2C" w14:paraId="235DAB58" w14:textId="33134DFA" w:rsidTr="00B70B2C">
        <w:tc>
          <w:tcPr>
            <w:tcW w:w="1312" w:type="dxa"/>
          </w:tcPr>
          <w:p w14:paraId="07B3E814" w14:textId="0A8669D7" w:rsidR="00B70B2C" w:rsidRDefault="00B70B2C" w:rsidP="00893722">
            <w:r>
              <w:t>2018-2019</w:t>
            </w:r>
          </w:p>
        </w:tc>
        <w:tc>
          <w:tcPr>
            <w:tcW w:w="0" w:type="auto"/>
          </w:tcPr>
          <w:p w14:paraId="1BDAEE75" w14:textId="3636F732" w:rsidR="00B70B2C" w:rsidRDefault="00B70B2C" w:rsidP="00893722">
            <w:r>
              <w:t>4958</w:t>
            </w:r>
          </w:p>
        </w:tc>
        <w:tc>
          <w:tcPr>
            <w:tcW w:w="0" w:type="auto"/>
          </w:tcPr>
          <w:p w14:paraId="38FAB1E8" w14:textId="75B60F41" w:rsidR="00B70B2C" w:rsidRDefault="00B70B2C" w:rsidP="00893722">
            <w:r>
              <w:t>2078</w:t>
            </w:r>
          </w:p>
        </w:tc>
        <w:tc>
          <w:tcPr>
            <w:tcW w:w="1549" w:type="dxa"/>
          </w:tcPr>
          <w:p w14:paraId="0487DBFD" w14:textId="64742580" w:rsidR="00B70B2C" w:rsidRDefault="00B70B2C" w:rsidP="00893722">
            <w:r>
              <w:t>3917</w:t>
            </w:r>
          </w:p>
        </w:tc>
        <w:tc>
          <w:tcPr>
            <w:tcW w:w="1843" w:type="dxa"/>
          </w:tcPr>
          <w:p w14:paraId="6B0F300E" w14:textId="56CF8720" w:rsidR="00B70B2C" w:rsidRDefault="00B70B2C" w:rsidP="00893722">
            <w:r>
              <w:t>2712</w:t>
            </w:r>
          </w:p>
        </w:tc>
        <w:tc>
          <w:tcPr>
            <w:tcW w:w="2410" w:type="dxa"/>
          </w:tcPr>
          <w:p w14:paraId="40B37D4D" w14:textId="727FB87B" w:rsidR="00B70B2C" w:rsidRDefault="00B70B2C" w:rsidP="00893722">
            <w:r>
              <w:t>6022</w:t>
            </w:r>
          </w:p>
        </w:tc>
      </w:tr>
      <w:tr w:rsidR="00B70B2C" w14:paraId="65E4A416" w14:textId="3D095B36" w:rsidTr="00B70B2C">
        <w:tc>
          <w:tcPr>
            <w:tcW w:w="1312" w:type="dxa"/>
          </w:tcPr>
          <w:p w14:paraId="5B83037E" w14:textId="07808983" w:rsidR="00B70B2C" w:rsidRDefault="00B70B2C" w:rsidP="00893722">
            <w:r>
              <w:t>2019-2020</w:t>
            </w:r>
          </w:p>
        </w:tc>
        <w:tc>
          <w:tcPr>
            <w:tcW w:w="0" w:type="auto"/>
          </w:tcPr>
          <w:p w14:paraId="4C29DF46" w14:textId="3B860B7E" w:rsidR="00B70B2C" w:rsidRDefault="00B70B2C" w:rsidP="00893722">
            <w:r>
              <w:t>5570</w:t>
            </w:r>
          </w:p>
        </w:tc>
        <w:tc>
          <w:tcPr>
            <w:tcW w:w="0" w:type="auto"/>
          </w:tcPr>
          <w:p w14:paraId="7D676CD9" w14:textId="2073AF3A" w:rsidR="00B70B2C" w:rsidRDefault="00B70B2C" w:rsidP="00893722">
            <w:r>
              <w:t>2451</w:t>
            </w:r>
          </w:p>
        </w:tc>
        <w:tc>
          <w:tcPr>
            <w:tcW w:w="1549" w:type="dxa"/>
          </w:tcPr>
          <w:p w14:paraId="03C7BAAB" w14:textId="1115FE5E" w:rsidR="00B70B2C" w:rsidRDefault="00B70B2C" w:rsidP="00893722">
            <w:r>
              <w:t>3385</w:t>
            </w:r>
          </w:p>
        </w:tc>
        <w:tc>
          <w:tcPr>
            <w:tcW w:w="1843" w:type="dxa"/>
          </w:tcPr>
          <w:p w14:paraId="2050F316" w14:textId="13CC1BC4" w:rsidR="00B70B2C" w:rsidRDefault="00B70B2C" w:rsidP="00893722">
            <w:r>
              <w:t>2470</w:t>
            </w:r>
          </w:p>
        </w:tc>
        <w:tc>
          <w:tcPr>
            <w:tcW w:w="2410" w:type="dxa"/>
          </w:tcPr>
          <w:p w14:paraId="5C8A58F9" w14:textId="1851E9D9" w:rsidR="00B70B2C" w:rsidRDefault="00B70B2C" w:rsidP="00893722">
            <w:r>
              <w:t>6361</w:t>
            </w:r>
          </w:p>
        </w:tc>
      </w:tr>
      <w:tr w:rsidR="00B70B2C" w14:paraId="0AACB1D1" w14:textId="45EDA6DA" w:rsidTr="00B70B2C">
        <w:tc>
          <w:tcPr>
            <w:tcW w:w="1312" w:type="dxa"/>
          </w:tcPr>
          <w:p w14:paraId="0F77BE08" w14:textId="2BF17907" w:rsidR="00B70B2C" w:rsidRDefault="00B70B2C" w:rsidP="00893722">
            <w:r>
              <w:t>2020-2021</w:t>
            </w:r>
          </w:p>
        </w:tc>
        <w:tc>
          <w:tcPr>
            <w:tcW w:w="0" w:type="auto"/>
          </w:tcPr>
          <w:p w14:paraId="7FC1EACE" w14:textId="59FEBA19" w:rsidR="00B70B2C" w:rsidRDefault="00B70B2C" w:rsidP="00893722">
            <w:r>
              <w:t>5491</w:t>
            </w:r>
          </w:p>
        </w:tc>
        <w:tc>
          <w:tcPr>
            <w:tcW w:w="0" w:type="auto"/>
          </w:tcPr>
          <w:p w14:paraId="4D59DFFD" w14:textId="1C3642FA" w:rsidR="00B70B2C" w:rsidRDefault="00B70B2C" w:rsidP="00893722">
            <w:r>
              <w:t>2212</w:t>
            </w:r>
          </w:p>
        </w:tc>
        <w:tc>
          <w:tcPr>
            <w:tcW w:w="1549" w:type="dxa"/>
          </w:tcPr>
          <w:p w14:paraId="0BF2D032" w14:textId="68B427E4" w:rsidR="00B70B2C" w:rsidRDefault="00B70B2C" w:rsidP="00893722">
            <w:r>
              <w:t>3328</w:t>
            </w:r>
          </w:p>
        </w:tc>
        <w:tc>
          <w:tcPr>
            <w:tcW w:w="1843" w:type="dxa"/>
          </w:tcPr>
          <w:p w14:paraId="7D29B520" w14:textId="626B4312" w:rsidR="00B70B2C" w:rsidRDefault="00B70B2C" w:rsidP="00893722">
            <w:r>
              <w:t>2180</w:t>
            </w:r>
          </w:p>
        </w:tc>
        <w:tc>
          <w:tcPr>
            <w:tcW w:w="2410" w:type="dxa"/>
          </w:tcPr>
          <w:p w14:paraId="441677D9" w14:textId="47F9034C" w:rsidR="00B70B2C" w:rsidRDefault="00B70B2C" w:rsidP="00893722">
            <w:r>
              <w:t>7083</w:t>
            </w:r>
          </w:p>
        </w:tc>
      </w:tr>
      <w:tr w:rsidR="00B70B2C" w14:paraId="7BBF99C7" w14:textId="77777777" w:rsidTr="00B70B2C">
        <w:tc>
          <w:tcPr>
            <w:tcW w:w="1312" w:type="dxa"/>
          </w:tcPr>
          <w:p w14:paraId="3F78E437" w14:textId="4052CCD3" w:rsidR="00B70B2C" w:rsidRDefault="00B70B2C" w:rsidP="00893722">
            <w:r>
              <w:t>2021-2022</w:t>
            </w:r>
          </w:p>
        </w:tc>
        <w:tc>
          <w:tcPr>
            <w:tcW w:w="0" w:type="auto"/>
          </w:tcPr>
          <w:p w14:paraId="1BD7DFFC" w14:textId="6ED5F783" w:rsidR="00B70B2C" w:rsidRDefault="00B70B2C" w:rsidP="00893722">
            <w:r>
              <w:t>10240</w:t>
            </w:r>
          </w:p>
        </w:tc>
        <w:tc>
          <w:tcPr>
            <w:tcW w:w="0" w:type="auto"/>
          </w:tcPr>
          <w:p w14:paraId="43B87D65" w14:textId="21855CB8" w:rsidR="00B70B2C" w:rsidRDefault="00B70B2C" w:rsidP="00893722">
            <w:r>
              <w:t>3181</w:t>
            </w:r>
          </w:p>
        </w:tc>
        <w:tc>
          <w:tcPr>
            <w:tcW w:w="1549" w:type="dxa"/>
          </w:tcPr>
          <w:p w14:paraId="17AF6409" w14:textId="5A0F418A" w:rsidR="00B70B2C" w:rsidRDefault="00B70B2C" w:rsidP="00893722">
            <w:r w:rsidRPr="00DA29CC">
              <w:t>3246</w:t>
            </w:r>
          </w:p>
        </w:tc>
        <w:tc>
          <w:tcPr>
            <w:tcW w:w="1843" w:type="dxa"/>
          </w:tcPr>
          <w:p w14:paraId="3E9D66AA" w14:textId="1442C9B3" w:rsidR="00B70B2C" w:rsidRDefault="00B70B2C" w:rsidP="00893722">
            <w:r>
              <w:t>2269</w:t>
            </w:r>
          </w:p>
        </w:tc>
        <w:tc>
          <w:tcPr>
            <w:tcW w:w="2410" w:type="dxa"/>
          </w:tcPr>
          <w:p w14:paraId="377866D8" w14:textId="61409D1C" w:rsidR="00B70B2C" w:rsidRDefault="00B70B2C" w:rsidP="00893722">
            <w:r w:rsidRPr="00DA29CC">
              <w:t>7389</w:t>
            </w:r>
          </w:p>
        </w:tc>
      </w:tr>
      <w:tr w:rsidR="00B70B2C" w14:paraId="384EE0EE" w14:textId="77777777" w:rsidTr="00B70B2C">
        <w:tc>
          <w:tcPr>
            <w:tcW w:w="1312" w:type="dxa"/>
          </w:tcPr>
          <w:p w14:paraId="14EBE4C1" w14:textId="1CFD8496" w:rsidR="00B70B2C" w:rsidRDefault="00AB0F44" w:rsidP="00893722">
            <w:r>
              <w:t>2022-2023</w:t>
            </w:r>
          </w:p>
        </w:tc>
        <w:tc>
          <w:tcPr>
            <w:tcW w:w="0" w:type="auto"/>
          </w:tcPr>
          <w:p w14:paraId="38B38366" w14:textId="6AD50A8E" w:rsidR="00B70B2C" w:rsidRDefault="009D44F6" w:rsidP="00893722">
            <w:r w:rsidRPr="009D44F6">
              <w:t>13707</w:t>
            </w:r>
          </w:p>
        </w:tc>
        <w:tc>
          <w:tcPr>
            <w:tcW w:w="0" w:type="auto"/>
          </w:tcPr>
          <w:p w14:paraId="59C4BE3D" w14:textId="1B92E9AB" w:rsidR="00B70B2C" w:rsidRDefault="009D44F6" w:rsidP="00AB0F44">
            <w:pPr>
              <w:tabs>
                <w:tab w:val="num" w:pos="720"/>
              </w:tabs>
              <w:spacing w:before="100" w:beforeAutospacing="1" w:after="100" w:afterAutospacing="1" w:line="240" w:lineRule="auto"/>
            </w:pPr>
            <w:r w:rsidRPr="009D44F6">
              <w:t>5514</w:t>
            </w:r>
          </w:p>
        </w:tc>
        <w:tc>
          <w:tcPr>
            <w:tcW w:w="1549" w:type="dxa"/>
          </w:tcPr>
          <w:p w14:paraId="6BC3105C" w14:textId="199E2CB8" w:rsidR="00B70B2C" w:rsidRPr="00DA29CC" w:rsidRDefault="009D44F6" w:rsidP="00893722">
            <w:r w:rsidRPr="009D44F6">
              <w:t>3881</w:t>
            </w:r>
          </w:p>
        </w:tc>
        <w:tc>
          <w:tcPr>
            <w:tcW w:w="1843" w:type="dxa"/>
          </w:tcPr>
          <w:p w14:paraId="35579056" w14:textId="7824105F" w:rsidR="00B70B2C" w:rsidRDefault="009D44F6" w:rsidP="00893722">
            <w:r w:rsidRPr="009D44F6">
              <w:t>2797</w:t>
            </w:r>
          </w:p>
        </w:tc>
        <w:tc>
          <w:tcPr>
            <w:tcW w:w="2410" w:type="dxa"/>
          </w:tcPr>
          <w:p w14:paraId="7B48F0E8" w14:textId="7CE074BF" w:rsidR="00B70B2C" w:rsidRPr="00DA29CC" w:rsidRDefault="009D44F6" w:rsidP="00893722">
            <w:r w:rsidRPr="009D44F6">
              <w:t>8422</w:t>
            </w:r>
          </w:p>
        </w:tc>
      </w:tr>
      <w:tr w:rsidR="00B70B2C" w14:paraId="380CE3F9" w14:textId="77777777" w:rsidTr="00D6311F">
        <w:tc>
          <w:tcPr>
            <w:tcW w:w="9356" w:type="dxa"/>
            <w:gridSpan w:val="6"/>
          </w:tcPr>
          <w:p w14:paraId="4F93493C" w14:textId="12E57878" w:rsidR="00B70B2C" w:rsidRDefault="001C65F1" w:rsidP="00B70B2C">
            <w:r>
              <w:t>Alle soorten verzuim zoals hierboven genoemd</w:t>
            </w:r>
            <w:r w:rsidR="00B70B2C">
              <w:t xml:space="preserve"> laten een stijging zien t.o.v. schooljaar 202</w:t>
            </w:r>
            <w:r>
              <w:t>1</w:t>
            </w:r>
            <w:r w:rsidR="00B70B2C">
              <w:t>-202</w:t>
            </w:r>
            <w:r>
              <w:t>2</w:t>
            </w:r>
            <w:r w:rsidR="00B70B2C">
              <w:t xml:space="preserve">. </w:t>
            </w:r>
          </w:p>
          <w:p w14:paraId="49ED84CF" w14:textId="7DCE6149" w:rsidR="00B70B2C" w:rsidRPr="00DA29CC" w:rsidRDefault="001C65F1" w:rsidP="00B70B2C">
            <w:r>
              <w:t>Vooral het absoluut verzuim</w:t>
            </w:r>
            <w:r w:rsidR="008641A2">
              <w:t xml:space="preserve"> (+34%) en absoluut verzuim langer dan drie maanden</w:t>
            </w:r>
            <w:r>
              <w:t xml:space="preserve"> </w:t>
            </w:r>
            <w:r w:rsidR="008641A2">
              <w:t xml:space="preserve">(+73%) </w:t>
            </w:r>
            <w:r>
              <w:t>la</w:t>
            </w:r>
            <w:r w:rsidR="008641A2">
              <w:t>ten</w:t>
            </w:r>
            <w:r>
              <w:t xml:space="preserve"> een flinke stijging zien.</w:t>
            </w:r>
            <w:r w:rsidR="008641A2">
              <w:t xml:space="preserve"> Daarnaast groeien ook het aantal gevallen van langdurig relatief verzuim (+20%), langdurig relatief verzuim langer dan 3 maanden (+23%) en het aantal vrijstellingen 5 onder a (+14%).</w:t>
            </w:r>
          </w:p>
        </w:tc>
      </w:tr>
      <w:tr w:rsidR="00B70B2C" w14:paraId="45F7A46D" w14:textId="77777777" w:rsidTr="00D6311F">
        <w:tc>
          <w:tcPr>
            <w:tcW w:w="9356" w:type="dxa"/>
            <w:gridSpan w:val="6"/>
          </w:tcPr>
          <w:p w14:paraId="486BB5E0" w14:textId="77777777" w:rsidR="00B70B2C" w:rsidRPr="003729B8" w:rsidRDefault="00B70B2C" w:rsidP="00B70B2C">
            <w:r w:rsidRPr="003729B8">
              <w:t>Terminologie:</w:t>
            </w:r>
          </w:p>
          <w:p w14:paraId="672D28C4" w14:textId="77777777" w:rsidR="00B70B2C" w:rsidRPr="00893722" w:rsidRDefault="00B70B2C" w:rsidP="00B70B2C">
            <w:pPr>
              <w:rPr>
                <w:i/>
                <w:iCs/>
              </w:rPr>
            </w:pPr>
            <w:r w:rsidRPr="00893722">
              <w:rPr>
                <w:i/>
                <w:iCs/>
              </w:rPr>
              <w:t xml:space="preserve">- Absoluut verzuim totaal: </w:t>
            </w:r>
          </w:p>
          <w:p w14:paraId="4A81D19A" w14:textId="77777777" w:rsidR="00B70B2C" w:rsidRDefault="00B70B2C" w:rsidP="00B70B2C">
            <w:r>
              <w:t xml:space="preserve">Het aantal leer- of kwalificatieplichtige jongeren dat absoluut verzuimer is (geweest) gedurende het schooljaar: de jongere is niet ingeschreven bij een onderwijsinstelling en beschikt niet over een vrijstelling. </w:t>
            </w:r>
          </w:p>
          <w:p w14:paraId="7152D816" w14:textId="77777777" w:rsidR="00B70B2C" w:rsidRPr="00893722" w:rsidRDefault="00B70B2C" w:rsidP="00B70B2C">
            <w:pPr>
              <w:rPr>
                <w:i/>
                <w:iCs/>
              </w:rPr>
            </w:pPr>
            <w:r w:rsidRPr="00893722">
              <w:rPr>
                <w:i/>
                <w:iCs/>
              </w:rPr>
              <w:t xml:space="preserve">- Absoluut verzuim &gt;3 mnd: </w:t>
            </w:r>
          </w:p>
          <w:p w14:paraId="1238A75A" w14:textId="3E67BBAC" w:rsidR="00B70B2C" w:rsidRDefault="00B70B2C" w:rsidP="00B70B2C">
            <w:r>
              <w:t>Het aantal leer- of kwalificatieplichtige jongeren zonder vrijstelling dat langer dan 3 maanden niet was ingeschreven op een school</w:t>
            </w:r>
            <w:r w:rsidR="004F7A79">
              <w:t>.</w:t>
            </w:r>
            <w:r>
              <w:t xml:space="preserve"> </w:t>
            </w:r>
          </w:p>
          <w:p w14:paraId="2278D5C7" w14:textId="77777777" w:rsidR="00B70B2C" w:rsidRPr="00893722" w:rsidRDefault="00B70B2C" w:rsidP="00B70B2C">
            <w:pPr>
              <w:rPr>
                <w:i/>
                <w:iCs/>
              </w:rPr>
            </w:pPr>
            <w:r w:rsidRPr="00893722">
              <w:rPr>
                <w:i/>
                <w:iCs/>
              </w:rPr>
              <w:t xml:space="preserve">- Langdurig relatief verzuim totaal: </w:t>
            </w:r>
          </w:p>
          <w:p w14:paraId="10AE01F9" w14:textId="77777777" w:rsidR="00B70B2C" w:rsidRDefault="00B70B2C" w:rsidP="00B70B2C">
            <w:r>
              <w:t xml:space="preserve">Het totaal aantal langdurig relatief verzuimers. Een langdurig relatief verzuimer is een op een school ingeschreven leer- of kwalificatieplichtige leerling die langer dan vier weken ongeoorloofd verzuimt zonder dat er sprake is van vrijstelling van leerplicht. </w:t>
            </w:r>
          </w:p>
          <w:p w14:paraId="7E8E564A" w14:textId="77777777" w:rsidR="00B70B2C" w:rsidRPr="00893722" w:rsidRDefault="00B70B2C" w:rsidP="00B70B2C">
            <w:pPr>
              <w:rPr>
                <w:i/>
                <w:iCs/>
              </w:rPr>
            </w:pPr>
            <w:r w:rsidRPr="00893722">
              <w:rPr>
                <w:i/>
                <w:iCs/>
              </w:rPr>
              <w:t xml:space="preserve">- Langdurig relatief verzuim &gt;3 mnd: </w:t>
            </w:r>
          </w:p>
          <w:p w14:paraId="359154DC" w14:textId="77777777" w:rsidR="00B70B2C" w:rsidRDefault="00B70B2C" w:rsidP="00B70B2C">
            <w:r>
              <w:t xml:space="preserve">Het aantal langdurig relatief verzuimers dat langer dan 3 maanden aansluitend verzuimt. </w:t>
            </w:r>
          </w:p>
          <w:p w14:paraId="23715F0E" w14:textId="77777777" w:rsidR="00B70B2C" w:rsidRPr="00893722" w:rsidRDefault="00B70B2C" w:rsidP="00B70B2C">
            <w:pPr>
              <w:rPr>
                <w:i/>
                <w:iCs/>
              </w:rPr>
            </w:pPr>
            <w:r w:rsidRPr="00893722">
              <w:rPr>
                <w:i/>
                <w:iCs/>
              </w:rPr>
              <w:t xml:space="preserve">- Vrijstellingen 5 onder a: </w:t>
            </w:r>
          </w:p>
          <w:p w14:paraId="0FA19C58" w14:textId="4F585B7A" w:rsidR="00B70B2C" w:rsidRDefault="00B70B2C" w:rsidP="00B70B2C">
            <w:r>
              <w:t>Het aantal jongeren met een vrijstelling omdat zij op lichamelijke of psychische gronden ongeschikt zijn om op een school te worden ingeschreven.</w:t>
            </w:r>
          </w:p>
        </w:tc>
      </w:tr>
    </w:tbl>
    <w:p w14:paraId="339D9EB3" w14:textId="40DDF87E" w:rsidR="008A7177" w:rsidRDefault="008A7177" w:rsidP="00C24DFF"/>
    <w:sectPr w:rsidR="008A71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4374" w14:textId="77777777" w:rsidR="007029CC" w:rsidRDefault="007029CC" w:rsidP="005533CD">
      <w:pPr>
        <w:spacing w:line="240" w:lineRule="auto"/>
      </w:pPr>
      <w:r>
        <w:separator/>
      </w:r>
    </w:p>
  </w:endnote>
  <w:endnote w:type="continuationSeparator" w:id="0">
    <w:p w14:paraId="3099C368" w14:textId="77777777" w:rsidR="007029CC" w:rsidRDefault="007029CC" w:rsidP="00553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FB1B" w14:textId="77777777" w:rsidR="007029CC" w:rsidRDefault="007029CC" w:rsidP="005533CD">
      <w:pPr>
        <w:spacing w:line="240" w:lineRule="auto"/>
      </w:pPr>
      <w:r>
        <w:separator/>
      </w:r>
    </w:p>
  </w:footnote>
  <w:footnote w:type="continuationSeparator" w:id="0">
    <w:p w14:paraId="33079597" w14:textId="77777777" w:rsidR="007029CC" w:rsidRDefault="007029CC" w:rsidP="005533CD">
      <w:pPr>
        <w:spacing w:line="240" w:lineRule="auto"/>
      </w:pPr>
      <w:r>
        <w:continuationSeparator/>
      </w:r>
    </w:p>
  </w:footnote>
  <w:footnote w:id="1">
    <w:p w14:paraId="2BCA5672" w14:textId="32CAB8A0" w:rsidR="0063749C" w:rsidRPr="0063749C" w:rsidRDefault="0063749C">
      <w:pPr>
        <w:pStyle w:val="Voetnoottekst"/>
        <w:rPr>
          <w:sz w:val="16"/>
          <w:szCs w:val="16"/>
        </w:rPr>
      </w:pPr>
      <w:r w:rsidRPr="0063749C">
        <w:rPr>
          <w:rStyle w:val="Voetnootmarkering"/>
          <w:sz w:val="16"/>
          <w:szCs w:val="16"/>
        </w:rPr>
        <w:footnoteRef/>
      </w:r>
      <w:r w:rsidRPr="0063749C">
        <w:rPr>
          <w:sz w:val="16"/>
          <w:szCs w:val="16"/>
        </w:rPr>
        <w:t xml:space="preserve"> Kamerstukken II, 2021-2022, 26695, nr. 13</w:t>
      </w:r>
      <w:r>
        <w:rPr>
          <w:sz w:val="16"/>
          <w:szCs w:val="16"/>
        </w:rPr>
        <w:t>9</w:t>
      </w:r>
      <w:r w:rsidR="008479E2">
        <w:rPr>
          <w:sz w:val="16"/>
          <w:szCs w:val="16"/>
        </w:rPr>
        <w:t>.</w:t>
      </w:r>
    </w:p>
  </w:footnote>
  <w:footnote w:id="2">
    <w:p w14:paraId="1EB5CFDC" w14:textId="64B24AB5" w:rsidR="00487CF4" w:rsidRPr="00487CF4" w:rsidRDefault="00487CF4">
      <w:pPr>
        <w:pStyle w:val="Voetnoottekst"/>
      </w:pPr>
      <w:r>
        <w:rPr>
          <w:rStyle w:val="Voetnootmarkering"/>
        </w:rPr>
        <w:footnoteRef/>
      </w:r>
      <w:r w:rsidRPr="00487CF4">
        <w:t xml:space="preserve"> </w:t>
      </w:r>
      <w:r>
        <w:rPr>
          <w:sz w:val="16"/>
          <w:szCs w:val="16"/>
        </w:rPr>
        <w:t>Nieuwsbrief via h</w:t>
      </w:r>
      <w:r w:rsidRPr="00487CF4">
        <w:rPr>
          <w:sz w:val="16"/>
          <w:szCs w:val="16"/>
        </w:rPr>
        <w:t>ttps://www.nieuwsbrievenminocw.nl/actueel/nieuws/2023/10/13/wet-tijdelijke-nieuwkomersvoorzieningen-in-het-onderwijs-maakt-onderwijs-voor-nieuwkomers-sneller-mogelijk</w:t>
      </w:r>
    </w:p>
  </w:footnote>
  <w:footnote w:id="3">
    <w:p w14:paraId="10D3F10E" w14:textId="2CEB2441" w:rsidR="00487CF4" w:rsidRPr="00487CF4" w:rsidRDefault="00487CF4">
      <w:pPr>
        <w:pStyle w:val="Voetnoottekst"/>
      </w:pPr>
      <w:r>
        <w:rPr>
          <w:rStyle w:val="Voetnootmarkering"/>
        </w:rPr>
        <w:footnoteRef/>
      </w:r>
      <w:r w:rsidRPr="00487CF4">
        <w:t xml:space="preserve"> </w:t>
      </w:r>
      <w:r>
        <w:rPr>
          <w:sz w:val="16"/>
          <w:szCs w:val="16"/>
        </w:rPr>
        <w:t>Gegevens via h</w:t>
      </w:r>
      <w:r w:rsidRPr="00487CF4">
        <w:rPr>
          <w:sz w:val="16"/>
          <w:szCs w:val="16"/>
        </w:rPr>
        <w:t>ttps://informatieproducten.duo.rijkscloud.nl/public/nieuwkomers-oekraine/</w:t>
      </w:r>
    </w:p>
  </w:footnote>
  <w:footnote w:id="4">
    <w:p w14:paraId="2E4DD700" w14:textId="34923524" w:rsidR="00483EAB" w:rsidRPr="00487CF4" w:rsidRDefault="00483EAB">
      <w:pPr>
        <w:pStyle w:val="Voetnoottekst"/>
        <w:rPr>
          <w:sz w:val="16"/>
          <w:szCs w:val="16"/>
          <w:lang w:val="en-US"/>
        </w:rPr>
      </w:pPr>
      <w:r>
        <w:rPr>
          <w:rStyle w:val="Voetnootmarkering"/>
        </w:rPr>
        <w:footnoteRef/>
      </w:r>
      <w:r w:rsidRPr="00C62068">
        <w:rPr>
          <w:lang w:val="en-US"/>
        </w:rPr>
        <w:t xml:space="preserve"> </w:t>
      </w:r>
      <w:r w:rsidRPr="00487CF4">
        <w:rPr>
          <w:sz w:val="16"/>
          <w:szCs w:val="16"/>
          <w:lang w:val="en-US"/>
        </w:rPr>
        <w:t xml:space="preserve">UNHCR, </w:t>
      </w:r>
      <w:r w:rsidRPr="00487CF4">
        <w:rPr>
          <w:i/>
          <w:iCs/>
          <w:sz w:val="16"/>
          <w:szCs w:val="16"/>
          <w:lang w:val="en-US"/>
        </w:rPr>
        <w:t xml:space="preserve">Education on hold: Education Policy Brief (September 2023), </w:t>
      </w:r>
      <w:r w:rsidRPr="00487CF4">
        <w:rPr>
          <w:sz w:val="16"/>
          <w:szCs w:val="16"/>
          <w:lang w:val="en-US"/>
        </w:rPr>
        <w:t>via</w:t>
      </w:r>
      <w:r w:rsidRPr="00487CF4">
        <w:rPr>
          <w:i/>
          <w:iCs/>
          <w:sz w:val="16"/>
          <w:szCs w:val="16"/>
          <w:lang w:val="en-US"/>
        </w:rPr>
        <w:t xml:space="preserve"> </w:t>
      </w:r>
      <w:r w:rsidRPr="00487CF4">
        <w:rPr>
          <w:sz w:val="16"/>
          <w:szCs w:val="16"/>
          <w:lang w:val="en-US"/>
        </w:rPr>
        <w:t>https://data.unhcr.org/en/documents/details/103089</w:t>
      </w:r>
    </w:p>
  </w:footnote>
  <w:footnote w:id="5">
    <w:p w14:paraId="74F2D733" w14:textId="33C358A5" w:rsidR="005533CD" w:rsidRPr="00C62068" w:rsidRDefault="005533CD">
      <w:pPr>
        <w:pStyle w:val="Voetnoottekst"/>
        <w:rPr>
          <w:lang w:val="en-US"/>
        </w:rPr>
      </w:pPr>
      <w:r w:rsidRPr="00487CF4">
        <w:rPr>
          <w:rStyle w:val="Voetnootmarkering"/>
          <w:sz w:val="16"/>
          <w:szCs w:val="16"/>
        </w:rPr>
        <w:footnoteRef/>
      </w:r>
      <w:r w:rsidRPr="00487CF4">
        <w:rPr>
          <w:sz w:val="16"/>
          <w:szCs w:val="16"/>
          <w:lang w:val="en-US"/>
        </w:rPr>
        <w:t xml:space="preserve"> https://www.rijksoverheid.nl/documenten/rapporten/2023/11/30/druk-op-de-keten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F65"/>
    <w:multiLevelType w:val="hybridMultilevel"/>
    <w:tmpl w:val="6EBEED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2E030C9"/>
    <w:multiLevelType w:val="hybridMultilevel"/>
    <w:tmpl w:val="9D2E8B88"/>
    <w:lvl w:ilvl="0" w:tplc="7DC2F2C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86D2942"/>
    <w:multiLevelType w:val="hybridMultilevel"/>
    <w:tmpl w:val="C72219A6"/>
    <w:lvl w:ilvl="0" w:tplc="F7BA30A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6231919"/>
    <w:multiLevelType w:val="multilevel"/>
    <w:tmpl w:val="1AF0C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721DE"/>
    <w:multiLevelType w:val="hybridMultilevel"/>
    <w:tmpl w:val="7338CEE6"/>
    <w:lvl w:ilvl="0" w:tplc="620E0CA4">
      <w:start w:val="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77720568">
    <w:abstractNumId w:val="1"/>
  </w:num>
  <w:num w:numId="2" w16cid:durableId="115218310">
    <w:abstractNumId w:val="4"/>
  </w:num>
  <w:num w:numId="3" w16cid:durableId="1404183240">
    <w:abstractNumId w:val="2"/>
  </w:num>
  <w:num w:numId="4" w16cid:durableId="2057580685">
    <w:abstractNumId w:val="1"/>
  </w:num>
  <w:num w:numId="5" w16cid:durableId="419371659">
    <w:abstractNumId w:val="0"/>
  </w:num>
  <w:num w:numId="6" w16cid:durableId="1883324002">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298141350">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8" w16cid:durableId="154153005">
    <w:abstractNumId w:val="3"/>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FF"/>
    <w:rsid w:val="0004233E"/>
    <w:rsid w:val="000517A5"/>
    <w:rsid w:val="00057D3F"/>
    <w:rsid w:val="0006078F"/>
    <w:rsid w:val="00065E0E"/>
    <w:rsid w:val="00085961"/>
    <w:rsid w:val="000870F3"/>
    <w:rsid w:val="000A38DC"/>
    <w:rsid w:val="000C61A3"/>
    <w:rsid w:val="000C6E47"/>
    <w:rsid w:val="000E26FF"/>
    <w:rsid w:val="000F77C9"/>
    <w:rsid w:val="00110505"/>
    <w:rsid w:val="001107AA"/>
    <w:rsid w:val="0011201D"/>
    <w:rsid w:val="00115BD8"/>
    <w:rsid w:val="00133A4D"/>
    <w:rsid w:val="0014393C"/>
    <w:rsid w:val="00161281"/>
    <w:rsid w:val="00166788"/>
    <w:rsid w:val="00167BA3"/>
    <w:rsid w:val="001848A7"/>
    <w:rsid w:val="001C65F1"/>
    <w:rsid w:val="001D1837"/>
    <w:rsid w:val="00216E21"/>
    <w:rsid w:val="0022361D"/>
    <w:rsid w:val="002254AE"/>
    <w:rsid w:val="00226CB6"/>
    <w:rsid w:val="00241339"/>
    <w:rsid w:val="00243A02"/>
    <w:rsid w:val="00291569"/>
    <w:rsid w:val="002D79CA"/>
    <w:rsid w:val="002E1B81"/>
    <w:rsid w:val="00317F05"/>
    <w:rsid w:val="003314ED"/>
    <w:rsid w:val="003371F3"/>
    <w:rsid w:val="00354262"/>
    <w:rsid w:val="00365EE7"/>
    <w:rsid w:val="00367734"/>
    <w:rsid w:val="003729B8"/>
    <w:rsid w:val="00385EBC"/>
    <w:rsid w:val="00392C1C"/>
    <w:rsid w:val="00395AC6"/>
    <w:rsid w:val="003A2547"/>
    <w:rsid w:val="003A4327"/>
    <w:rsid w:val="003B6F10"/>
    <w:rsid w:val="003F07B0"/>
    <w:rsid w:val="0041512E"/>
    <w:rsid w:val="00437BAE"/>
    <w:rsid w:val="00444363"/>
    <w:rsid w:val="00454CAA"/>
    <w:rsid w:val="0046773E"/>
    <w:rsid w:val="004745AA"/>
    <w:rsid w:val="00483EAB"/>
    <w:rsid w:val="00487CF4"/>
    <w:rsid w:val="00495A72"/>
    <w:rsid w:val="004B0DC7"/>
    <w:rsid w:val="004C6A3A"/>
    <w:rsid w:val="004D3CBC"/>
    <w:rsid w:val="004E18AC"/>
    <w:rsid w:val="004F4FD0"/>
    <w:rsid w:val="004F7A79"/>
    <w:rsid w:val="00516A5D"/>
    <w:rsid w:val="0051760B"/>
    <w:rsid w:val="0053404E"/>
    <w:rsid w:val="00542A91"/>
    <w:rsid w:val="005456D7"/>
    <w:rsid w:val="005533CD"/>
    <w:rsid w:val="005561CE"/>
    <w:rsid w:val="005728AF"/>
    <w:rsid w:val="00574115"/>
    <w:rsid w:val="00596DCF"/>
    <w:rsid w:val="005E31EA"/>
    <w:rsid w:val="006371FE"/>
    <w:rsid w:val="0063749C"/>
    <w:rsid w:val="00641C33"/>
    <w:rsid w:val="00644648"/>
    <w:rsid w:val="00666E0D"/>
    <w:rsid w:val="00691C90"/>
    <w:rsid w:val="00695B5B"/>
    <w:rsid w:val="006E4B66"/>
    <w:rsid w:val="006F6A55"/>
    <w:rsid w:val="007029CC"/>
    <w:rsid w:val="0071750F"/>
    <w:rsid w:val="0072404D"/>
    <w:rsid w:val="0075526B"/>
    <w:rsid w:val="007616AB"/>
    <w:rsid w:val="00765D1D"/>
    <w:rsid w:val="00765E24"/>
    <w:rsid w:val="007660A0"/>
    <w:rsid w:val="00773A56"/>
    <w:rsid w:val="00783061"/>
    <w:rsid w:val="00795779"/>
    <w:rsid w:val="007A199B"/>
    <w:rsid w:val="007C3E9F"/>
    <w:rsid w:val="007D7100"/>
    <w:rsid w:val="007F4C01"/>
    <w:rsid w:val="00800627"/>
    <w:rsid w:val="008023C6"/>
    <w:rsid w:val="00807AEC"/>
    <w:rsid w:val="0082245D"/>
    <w:rsid w:val="008479BC"/>
    <w:rsid w:val="008479E2"/>
    <w:rsid w:val="008641A2"/>
    <w:rsid w:val="00865A10"/>
    <w:rsid w:val="008903FC"/>
    <w:rsid w:val="00893722"/>
    <w:rsid w:val="008A7177"/>
    <w:rsid w:val="008B56C9"/>
    <w:rsid w:val="008C06DC"/>
    <w:rsid w:val="00914F77"/>
    <w:rsid w:val="00923AFA"/>
    <w:rsid w:val="009245CC"/>
    <w:rsid w:val="0095600E"/>
    <w:rsid w:val="00965411"/>
    <w:rsid w:val="00972EBE"/>
    <w:rsid w:val="009838D7"/>
    <w:rsid w:val="009A5041"/>
    <w:rsid w:val="009B15F3"/>
    <w:rsid w:val="009B2A9B"/>
    <w:rsid w:val="009B685A"/>
    <w:rsid w:val="009C3F1D"/>
    <w:rsid w:val="009D44F6"/>
    <w:rsid w:val="009D69C9"/>
    <w:rsid w:val="009F5E2F"/>
    <w:rsid w:val="00A04577"/>
    <w:rsid w:val="00A21E6B"/>
    <w:rsid w:val="00A41BA3"/>
    <w:rsid w:val="00A534C4"/>
    <w:rsid w:val="00A9080B"/>
    <w:rsid w:val="00AB0F44"/>
    <w:rsid w:val="00AD1470"/>
    <w:rsid w:val="00AE6CD0"/>
    <w:rsid w:val="00AF29CC"/>
    <w:rsid w:val="00B04F22"/>
    <w:rsid w:val="00B13DBB"/>
    <w:rsid w:val="00B27A04"/>
    <w:rsid w:val="00B30340"/>
    <w:rsid w:val="00B70B2C"/>
    <w:rsid w:val="00B777F6"/>
    <w:rsid w:val="00B9612F"/>
    <w:rsid w:val="00BC40A9"/>
    <w:rsid w:val="00BD08DF"/>
    <w:rsid w:val="00BF45D2"/>
    <w:rsid w:val="00C06ABC"/>
    <w:rsid w:val="00C16305"/>
    <w:rsid w:val="00C24DFF"/>
    <w:rsid w:val="00C43C01"/>
    <w:rsid w:val="00C57918"/>
    <w:rsid w:val="00C62068"/>
    <w:rsid w:val="00C645E9"/>
    <w:rsid w:val="00C708B6"/>
    <w:rsid w:val="00C921BE"/>
    <w:rsid w:val="00CA16EA"/>
    <w:rsid w:val="00CC5C6C"/>
    <w:rsid w:val="00CC6877"/>
    <w:rsid w:val="00CD1F37"/>
    <w:rsid w:val="00CD369C"/>
    <w:rsid w:val="00CD5334"/>
    <w:rsid w:val="00D13EB1"/>
    <w:rsid w:val="00D2307A"/>
    <w:rsid w:val="00D26F66"/>
    <w:rsid w:val="00D45114"/>
    <w:rsid w:val="00D6116F"/>
    <w:rsid w:val="00D6311F"/>
    <w:rsid w:val="00D65A06"/>
    <w:rsid w:val="00D8536C"/>
    <w:rsid w:val="00D87F33"/>
    <w:rsid w:val="00DA29CC"/>
    <w:rsid w:val="00DE146E"/>
    <w:rsid w:val="00DE1B0A"/>
    <w:rsid w:val="00DF7B4D"/>
    <w:rsid w:val="00E03129"/>
    <w:rsid w:val="00E0465E"/>
    <w:rsid w:val="00E07DCA"/>
    <w:rsid w:val="00E20D6C"/>
    <w:rsid w:val="00E21995"/>
    <w:rsid w:val="00E507ED"/>
    <w:rsid w:val="00E92781"/>
    <w:rsid w:val="00EA6B53"/>
    <w:rsid w:val="00EB38E9"/>
    <w:rsid w:val="00ED4D39"/>
    <w:rsid w:val="00ED6470"/>
    <w:rsid w:val="00EE500C"/>
    <w:rsid w:val="00EF710F"/>
    <w:rsid w:val="00F251C4"/>
    <w:rsid w:val="00F37A0D"/>
    <w:rsid w:val="00F70270"/>
    <w:rsid w:val="00F76C42"/>
    <w:rsid w:val="00F77FD9"/>
    <w:rsid w:val="00F82A84"/>
    <w:rsid w:val="00F947C7"/>
    <w:rsid w:val="00FA3582"/>
    <w:rsid w:val="00FC195F"/>
    <w:rsid w:val="00FF7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5624"/>
  <w15:docId w15:val="{85542D9F-D645-4087-87F6-C1539F3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C24DFF"/>
    <w:pPr>
      <w:spacing w:line="240" w:lineRule="auto"/>
      <w:ind w:left="720"/>
    </w:pPr>
    <w:rPr>
      <w:rFonts w:ascii="Calibri" w:eastAsiaTheme="minorHAnsi" w:hAnsi="Calibri" w:cs="Calibri"/>
      <w:sz w:val="22"/>
      <w:szCs w:val="22"/>
      <w:lang w:eastAsia="en-US"/>
    </w:rPr>
  </w:style>
  <w:style w:type="character" w:styleId="Verwijzingopmerking">
    <w:name w:val="annotation reference"/>
    <w:basedOn w:val="Standaardalinea-lettertype"/>
    <w:uiPriority w:val="99"/>
    <w:semiHidden/>
    <w:unhideWhenUsed/>
    <w:rsid w:val="00C24DFF"/>
    <w:rPr>
      <w:sz w:val="16"/>
      <w:szCs w:val="16"/>
    </w:rPr>
  </w:style>
  <w:style w:type="paragraph" w:styleId="Tekstopmerking">
    <w:name w:val="annotation text"/>
    <w:basedOn w:val="Standaard"/>
    <w:link w:val="TekstopmerkingChar"/>
    <w:uiPriority w:val="99"/>
    <w:unhideWhenUsed/>
    <w:rsid w:val="00C24DFF"/>
    <w:pPr>
      <w:spacing w:line="240" w:lineRule="auto"/>
    </w:pPr>
    <w:rPr>
      <w:sz w:val="20"/>
      <w:szCs w:val="20"/>
    </w:rPr>
  </w:style>
  <w:style w:type="character" w:customStyle="1" w:styleId="TekstopmerkingChar">
    <w:name w:val="Tekst opmerking Char"/>
    <w:basedOn w:val="Standaardalinea-lettertype"/>
    <w:link w:val="Tekstopmerking"/>
    <w:uiPriority w:val="99"/>
    <w:rsid w:val="00C24DFF"/>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023C6"/>
    <w:rPr>
      <w:b/>
      <w:bCs/>
    </w:rPr>
  </w:style>
  <w:style w:type="character" w:customStyle="1" w:styleId="OnderwerpvanopmerkingChar">
    <w:name w:val="Onderwerp van opmerking Char"/>
    <w:basedOn w:val="TekstopmerkingChar"/>
    <w:link w:val="Onderwerpvanopmerking"/>
    <w:uiPriority w:val="99"/>
    <w:semiHidden/>
    <w:rsid w:val="008023C6"/>
    <w:rPr>
      <w:rFonts w:ascii="Verdana" w:hAnsi="Verdana" w:cs="Times New Roman"/>
      <w:b/>
      <w:bCs/>
      <w:sz w:val="20"/>
      <w:szCs w:val="20"/>
      <w:lang w:eastAsia="nl-NL"/>
    </w:rPr>
  </w:style>
  <w:style w:type="table" w:styleId="Tabelraster">
    <w:name w:val="Table Grid"/>
    <w:basedOn w:val="Standaardtabel"/>
    <w:uiPriority w:val="59"/>
    <w:unhideWhenUsed/>
    <w:rsid w:val="00AE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533C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533CD"/>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533CD"/>
    <w:rPr>
      <w:vertAlign w:val="superscript"/>
    </w:rPr>
  </w:style>
  <w:style w:type="paragraph" w:styleId="Revisie">
    <w:name w:val="Revision"/>
    <w:hidden/>
    <w:uiPriority w:val="99"/>
    <w:semiHidden/>
    <w:rsid w:val="00CD369C"/>
    <w:pPr>
      <w:spacing w:after="0" w:line="240" w:lineRule="auto"/>
    </w:pPr>
    <w:rPr>
      <w:rFonts w:ascii="Verdana" w:hAnsi="Verdana" w:cs="Times New Roman"/>
      <w:sz w:val="18"/>
      <w:szCs w:val="24"/>
      <w:lang w:eastAsia="nl-NL"/>
    </w:rPr>
  </w:style>
  <w:style w:type="character" w:styleId="Hyperlink">
    <w:name w:val="Hyperlink"/>
    <w:basedOn w:val="Standaardalinea-lettertype"/>
    <w:uiPriority w:val="99"/>
    <w:unhideWhenUsed/>
    <w:rsid w:val="00483EAB"/>
    <w:rPr>
      <w:color w:val="0000FF" w:themeColor="hyperlink"/>
      <w:u w:val="single"/>
    </w:rPr>
  </w:style>
  <w:style w:type="character" w:styleId="Onopgelostemelding">
    <w:name w:val="Unresolved Mention"/>
    <w:basedOn w:val="Standaardalinea-lettertype"/>
    <w:uiPriority w:val="99"/>
    <w:semiHidden/>
    <w:unhideWhenUsed/>
    <w:rsid w:val="00483EAB"/>
    <w:rPr>
      <w:color w:val="605E5C"/>
      <w:shd w:val="clear" w:color="auto" w:fill="E1DFDD"/>
    </w:rPr>
  </w:style>
  <w:style w:type="paragraph" w:customStyle="1" w:styleId="pf0">
    <w:name w:val="pf0"/>
    <w:basedOn w:val="Standaard"/>
    <w:rsid w:val="00C62068"/>
    <w:pPr>
      <w:spacing w:before="100" w:beforeAutospacing="1" w:after="100" w:afterAutospacing="1" w:line="240" w:lineRule="auto"/>
    </w:pPr>
    <w:rPr>
      <w:rFonts w:ascii="Times New Roman" w:hAnsi="Times New Roman"/>
      <w:sz w:val="24"/>
    </w:rPr>
  </w:style>
  <w:style w:type="character" w:customStyle="1" w:styleId="cf01">
    <w:name w:val="cf01"/>
    <w:basedOn w:val="Standaardalinea-lettertype"/>
    <w:rsid w:val="00C62068"/>
    <w:rPr>
      <w:rFonts w:ascii="Segoe UI" w:hAnsi="Segoe UI" w:cs="Segoe UI" w:hint="default"/>
      <w:sz w:val="18"/>
      <w:szCs w:val="18"/>
    </w:rPr>
  </w:style>
  <w:style w:type="character" w:customStyle="1" w:styleId="cf11">
    <w:name w:val="cf11"/>
    <w:basedOn w:val="Standaardalinea-lettertype"/>
    <w:rsid w:val="00C62068"/>
    <w:rPr>
      <w:rFonts w:ascii="Segoe UI" w:hAnsi="Segoe UI" w:cs="Segoe UI" w:hint="default"/>
      <w:i/>
      <w:iCs/>
      <w:sz w:val="18"/>
      <w:szCs w:val="18"/>
    </w:rPr>
  </w:style>
  <w:style w:type="paragraph" w:styleId="Normaalweb">
    <w:name w:val="Normal (Web)"/>
    <w:basedOn w:val="Standaard"/>
    <w:uiPriority w:val="99"/>
    <w:semiHidden/>
    <w:unhideWhenUsed/>
    <w:rsid w:val="00C62068"/>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34">
      <w:bodyDiv w:val="1"/>
      <w:marLeft w:val="0"/>
      <w:marRight w:val="0"/>
      <w:marTop w:val="0"/>
      <w:marBottom w:val="0"/>
      <w:divBdr>
        <w:top w:val="none" w:sz="0" w:space="0" w:color="auto"/>
        <w:left w:val="none" w:sz="0" w:space="0" w:color="auto"/>
        <w:bottom w:val="none" w:sz="0" w:space="0" w:color="auto"/>
        <w:right w:val="none" w:sz="0" w:space="0" w:color="auto"/>
      </w:divBdr>
    </w:div>
    <w:div w:id="55324423">
      <w:bodyDiv w:val="1"/>
      <w:marLeft w:val="0"/>
      <w:marRight w:val="0"/>
      <w:marTop w:val="0"/>
      <w:marBottom w:val="0"/>
      <w:divBdr>
        <w:top w:val="none" w:sz="0" w:space="0" w:color="auto"/>
        <w:left w:val="none" w:sz="0" w:space="0" w:color="auto"/>
        <w:bottom w:val="none" w:sz="0" w:space="0" w:color="auto"/>
        <w:right w:val="none" w:sz="0" w:space="0" w:color="auto"/>
      </w:divBdr>
    </w:div>
    <w:div w:id="480005028">
      <w:bodyDiv w:val="1"/>
      <w:marLeft w:val="0"/>
      <w:marRight w:val="0"/>
      <w:marTop w:val="0"/>
      <w:marBottom w:val="0"/>
      <w:divBdr>
        <w:top w:val="none" w:sz="0" w:space="0" w:color="auto"/>
        <w:left w:val="none" w:sz="0" w:space="0" w:color="auto"/>
        <w:bottom w:val="none" w:sz="0" w:space="0" w:color="auto"/>
        <w:right w:val="none" w:sz="0" w:space="0" w:color="auto"/>
      </w:divBdr>
    </w:div>
    <w:div w:id="730226382">
      <w:bodyDiv w:val="1"/>
      <w:marLeft w:val="0"/>
      <w:marRight w:val="0"/>
      <w:marTop w:val="0"/>
      <w:marBottom w:val="0"/>
      <w:divBdr>
        <w:top w:val="none" w:sz="0" w:space="0" w:color="auto"/>
        <w:left w:val="none" w:sz="0" w:space="0" w:color="auto"/>
        <w:bottom w:val="none" w:sz="0" w:space="0" w:color="auto"/>
        <w:right w:val="none" w:sz="0" w:space="0" w:color="auto"/>
      </w:divBdr>
    </w:div>
    <w:div w:id="926767514">
      <w:bodyDiv w:val="1"/>
      <w:marLeft w:val="0"/>
      <w:marRight w:val="0"/>
      <w:marTop w:val="0"/>
      <w:marBottom w:val="0"/>
      <w:divBdr>
        <w:top w:val="none" w:sz="0" w:space="0" w:color="auto"/>
        <w:left w:val="none" w:sz="0" w:space="0" w:color="auto"/>
        <w:bottom w:val="none" w:sz="0" w:space="0" w:color="auto"/>
        <w:right w:val="none" w:sz="0" w:space="0" w:color="auto"/>
      </w:divBdr>
    </w:div>
    <w:div w:id="1013648752">
      <w:bodyDiv w:val="1"/>
      <w:marLeft w:val="0"/>
      <w:marRight w:val="0"/>
      <w:marTop w:val="0"/>
      <w:marBottom w:val="0"/>
      <w:divBdr>
        <w:top w:val="none" w:sz="0" w:space="0" w:color="auto"/>
        <w:left w:val="none" w:sz="0" w:space="0" w:color="auto"/>
        <w:bottom w:val="none" w:sz="0" w:space="0" w:color="auto"/>
        <w:right w:val="none" w:sz="0" w:space="0" w:color="auto"/>
      </w:divBdr>
    </w:div>
    <w:div w:id="1318537984">
      <w:bodyDiv w:val="1"/>
      <w:marLeft w:val="0"/>
      <w:marRight w:val="0"/>
      <w:marTop w:val="0"/>
      <w:marBottom w:val="0"/>
      <w:divBdr>
        <w:top w:val="none" w:sz="0" w:space="0" w:color="auto"/>
        <w:left w:val="none" w:sz="0" w:space="0" w:color="auto"/>
        <w:bottom w:val="none" w:sz="0" w:space="0" w:color="auto"/>
        <w:right w:val="none" w:sz="0" w:space="0" w:color="auto"/>
      </w:divBdr>
    </w:div>
    <w:div w:id="1333335712">
      <w:bodyDiv w:val="1"/>
      <w:marLeft w:val="0"/>
      <w:marRight w:val="0"/>
      <w:marTop w:val="0"/>
      <w:marBottom w:val="0"/>
      <w:divBdr>
        <w:top w:val="none" w:sz="0" w:space="0" w:color="auto"/>
        <w:left w:val="none" w:sz="0" w:space="0" w:color="auto"/>
        <w:bottom w:val="none" w:sz="0" w:space="0" w:color="auto"/>
        <w:right w:val="none" w:sz="0" w:space="0" w:color="auto"/>
      </w:divBdr>
    </w:div>
    <w:div w:id="143173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E130-56F3-48B8-BEB6-C78EFCBA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1684</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Ministerie van Onderwijs, Cultuur en Wetenschap</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Okcuoglu, Rowan</dc:creator>
  <cp:keywords/>
  <dc:description/>
  <cp:lastModifiedBy>Jérôme Smits</cp:lastModifiedBy>
  <cp:revision>3</cp:revision>
  <dcterms:created xsi:type="dcterms:W3CDTF">2024-04-08T10:21:00Z</dcterms:created>
  <dcterms:modified xsi:type="dcterms:W3CDTF">2024-05-08T13:32:00Z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45425398</vt:lpwstr>
  </property>
</Properties>
</file>